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07941F61" w14:textId="442CEBE1" w:rsidR="00EB6E6C" w:rsidRDefault="00952E48" w:rsidP="00EB6E6C">
      <w:pPr>
        <w:rPr>
          <w:rFonts w:ascii="Calibri" w:eastAsia="Calibri" w:hAnsi="Calibri" w:cs="Calibri"/>
          <w:b/>
          <w:color w:val="000000"/>
        </w:rPr>
      </w:pPr>
      <w:r w:rsidRPr="00691177">
        <w:rPr>
          <w:rFonts w:asciiTheme="minorHAnsi" w:eastAsia="Calibri" w:hAnsiTheme="minorHAnsi"/>
          <w:b/>
          <w:bCs/>
          <w:noProof/>
          <w:sz w:val="22"/>
          <w:szCs w:val="22"/>
          <w:lang w:eastAsia="en-US"/>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E6E4"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EB6E6C">
        <w:rPr>
          <w:rFonts w:ascii="Calibri" w:eastAsia="Calibri" w:hAnsi="Calibri" w:cs="Calibri"/>
          <w:b/>
          <w:bCs/>
          <w:sz w:val="22"/>
        </w:rPr>
        <w:t xml:space="preserve">Decreto “Cura Italia”: </w:t>
      </w:r>
      <w:r w:rsidR="00800AB0">
        <w:rPr>
          <w:rFonts w:ascii="Calibri" w:eastAsia="Calibri" w:hAnsi="Calibri" w:cs="Calibri"/>
          <w:b/>
          <w:bCs/>
          <w:sz w:val="22"/>
        </w:rPr>
        <w:t xml:space="preserve">operatività uffici Motorizzazione Civile </w:t>
      </w:r>
      <w:bookmarkEnd w:id="0"/>
    </w:p>
    <w:p w14:paraId="3F0FF94A" w14:textId="5884784C" w:rsidR="005B0A5E" w:rsidRPr="005B0A5E" w:rsidRDefault="005B0A5E" w:rsidP="005B0A5E">
      <w:pPr>
        <w:rPr>
          <w:rFonts w:ascii="Calibri" w:eastAsia="Calibri" w:hAnsi="Calibri" w:cs="Calibri"/>
          <w:b/>
          <w:bCs/>
          <w:sz w:val="22"/>
        </w:rPr>
      </w:pPr>
    </w:p>
    <w:p w14:paraId="119A690B" w14:textId="62DB5576" w:rsidR="007E44FD" w:rsidRDefault="007E44FD" w:rsidP="007E44FD">
      <w:pPr>
        <w:rPr>
          <w:rFonts w:ascii="Calibri" w:eastAsia="Calibri" w:hAnsi="Calibri" w:cs="Calibri"/>
          <w:b/>
        </w:rPr>
      </w:pPr>
      <w:r>
        <w:rPr>
          <w:rFonts w:ascii="Calibri" w:eastAsia="Calibri" w:hAnsi="Calibri" w:cs="Calibri"/>
          <w:b/>
          <w:sz w:val="22"/>
        </w:rPr>
        <w:t xml:space="preserve"> </w:t>
      </w:r>
    </w:p>
    <w:p w14:paraId="0A2F28D5" w14:textId="1108776E" w:rsidR="00A96510" w:rsidRPr="00800AB0" w:rsidRDefault="00800AB0" w:rsidP="002043B0">
      <w:pPr>
        <w:jc w:val="both"/>
        <w:rPr>
          <w:rFonts w:asciiTheme="minorHAnsi" w:hAnsiTheme="minorHAnsi"/>
          <w:bCs/>
          <w:sz w:val="22"/>
          <w:szCs w:val="22"/>
        </w:rPr>
      </w:pPr>
      <w:r w:rsidRPr="00800AB0">
        <w:rPr>
          <w:rFonts w:ascii="Calibri" w:eastAsia="Calibri" w:hAnsi="Calibri" w:cs="Calibri"/>
          <w:bCs/>
          <w:color w:val="000000"/>
          <w:sz w:val="22"/>
          <w:szCs w:val="22"/>
        </w:rPr>
        <w:t>Proroga e sospensione di termini</w:t>
      </w:r>
    </w:p>
    <w:p w14:paraId="3AED417C" w14:textId="3AF5F662" w:rsidR="00A96510" w:rsidRDefault="00A96510" w:rsidP="00A96510">
      <w:pPr>
        <w:ind w:left="142"/>
        <w:jc w:val="both"/>
        <w:rPr>
          <w:rFonts w:asciiTheme="minorHAnsi" w:hAnsiTheme="minorHAnsi"/>
          <w:b/>
          <w:bCs/>
          <w:sz w:val="22"/>
          <w:szCs w:val="22"/>
        </w:rPr>
      </w:pPr>
    </w:p>
    <w:p w14:paraId="37D557E6" w14:textId="77777777" w:rsidR="00800AB0" w:rsidRDefault="00800AB0" w:rsidP="003935D7">
      <w:pPr>
        <w:rPr>
          <w:rFonts w:ascii="Calibri" w:eastAsia="Calibri" w:hAnsi="Calibri" w:cs="Calibri"/>
          <w:color w:val="000000"/>
          <w:sz w:val="22"/>
          <w:szCs w:val="22"/>
        </w:rPr>
      </w:pPr>
    </w:p>
    <w:p w14:paraId="36A51861" w14:textId="02775A71"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 xml:space="preserve">ANITA informa che la Direzione Generale Motorizzazione – con la circolare </w:t>
      </w:r>
      <w:r w:rsidRPr="003935D7">
        <w:rPr>
          <w:rFonts w:ascii="Calibri" w:eastAsia="Calibri" w:hAnsi="Calibri" w:cs="Calibri"/>
          <w:bCs/>
          <w:color w:val="000000"/>
          <w:sz w:val="22"/>
          <w:szCs w:val="22"/>
        </w:rPr>
        <w:t>1735 del 23 marzo</w:t>
      </w:r>
      <w:r w:rsidRPr="003935D7">
        <w:rPr>
          <w:rFonts w:ascii="Calibri" w:eastAsia="Calibri" w:hAnsi="Calibri" w:cs="Calibri"/>
          <w:color w:val="000000"/>
          <w:sz w:val="22"/>
          <w:szCs w:val="22"/>
        </w:rPr>
        <w:t xml:space="preserve">, </w:t>
      </w:r>
      <w:r w:rsidRPr="003935D7">
        <w:rPr>
          <w:rFonts w:ascii="Calibri" w:eastAsia="Calibri" w:hAnsi="Calibri" w:cs="Calibri"/>
          <w:b/>
          <w:bCs/>
          <w:color w:val="000000"/>
          <w:sz w:val="22"/>
          <w:szCs w:val="22"/>
        </w:rPr>
        <w:t>allegata</w:t>
      </w:r>
      <w:r w:rsidRPr="003935D7">
        <w:rPr>
          <w:rFonts w:ascii="Calibri" w:eastAsia="Calibri" w:hAnsi="Calibri" w:cs="Calibri"/>
          <w:color w:val="000000"/>
          <w:sz w:val="22"/>
          <w:szCs w:val="22"/>
        </w:rPr>
        <w:t xml:space="preserve"> – ha fornito chiarimenti in merito agli effetti prodotti dal D.L. n.18/2020 sull’operatività degli uffici della Motorizzazione </w:t>
      </w:r>
      <w:r w:rsidR="00800AB0">
        <w:rPr>
          <w:rFonts w:ascii="Calibri" w:eastAsia="Calibri" w:hAnsi="Calibri" w:cs="Calibri"/>
          <w:color w:val="000000"/>
          <w:sz w:val="22"/>
          <w:szCs w:val="22"/>
        </w:rPr>
        <w:t>C</w:t>
      </w:r>
      <w:r w:rsidRPr="003935D7">
        <w:rPr>
          <w:rFonts w:ascii="Calibri" w:eastAsia="Calibri" w:hAnsi="Calibri" w:cs="Calibri"/>
          <w:color w:val="000000"/>
          <w:sz w:val="22"/>
          <w:szCs w:val="22"/>
        </w:rPr>
        <w:t xml:space="preserve">ivile (UMC). </w:t>
      </w:r>
    </w:p>
    <w:p w14:paraId="76A5227E" w14:textId="77777777" w:rsidR="003935D7" w:rsidRPr="003935D7" w:rsidRDefault="003935D7" w:rsidP="003935D7">
      <w:pPr>
        <w:rPr>
          <w:rFonts w:ascii="Calibri" w:eastAsia="Calibri" w:hAnsi="Calibri" w:cs="Calibri"/>
          <w:color w:val="000000"/>
          <w:sz w:val="22"/>
          <w:szCs w:val="22"/>
        </w:rPr>
      </w:pPr>
    </w:p>
    <w:p w14:paraId="38293323"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In particolare:</w:t>
      </w:r>
    </w:p>
    <w:p w14:paraId="1F9B86D4" w14:textId="77777777" w:rsidR="003935D7" w:rsidRPr="003935D7" w:rsidRDefault="003935D7" w:rsidP="003935D7">
      <w:pPr>
        <w:rPr>
          <w:rFonts w:ascii="Calibri" w:eastAsia="Calibri" w:hAnsi="Calibri" w:cs="Calibri"/>
          <w:color w:val="000000"/>
          <w:sz w:val="22"/>
          <w:szCs w:val="22"/>
        </w:rPr>
      </w:pPr>
    </w:p>
    <w:p w14:paraId="2C9046F0" w14:textId="77777777" w:rsidR="003935D7" w:rsidRPr="003935D7" w:rsidRDefault="003935D7" w:rsidP="003935D7">
      <w:pPr>
        <w:rPr>
          <w:rFonts w:ascii="Calibri" w:eastAsia="Calibri" w:hAnsi="Calibri" w:cs="Calibri"/>
          <w:b/>
          <w:color w:val="000000"/>
          <w:sz w:val="22"/>
          <w:szCs w:val="22"/>
        </w:rPr>
      </w:pPr>
      <w:r w:rsidRPr="003935D7">
        <w:rPr>
          <w:rFonts w:ascii="Calibri" w:eastAsia="Calibri" w:hAnsi="Calibri" w:cs="Calibri"/>
          <w:b/>
          <w:color w:val="000000"/>
          <w:sz w:val="22"/>
          <w:szCs w:val="22"/>
        </w:rPr>
        <w:t>Sospensione termini procedimentali (Art.103, comma 1)</w:t>
      </w:r>
    </w:p>
    <w:p w14:paraId="35FE2973"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 xml:space="preserve">Fermo restando che, per espressa previsione contenuta nella norma, le pubbliche amministrazioni “adottano ogni misura organizzativa idonea ad assicurare comunque la ragionevole durata e la celere conclusione dei procedimenti, con priorità per quelli da considerare urgenti, anche sulla base di motivate istanze degli interessati”, per tutte le attività diverse da quelle indifferibili da rendere con la presenza del personale, o comunque non espletabili in via ordinaria nelle modalità del “lavoro agile” è possibile concludere i procedimenti pendenti </w:t>
      </w:r>
      <w:r w:rsidRPr="003935D7">
        <w:rPr>
          <w:rFonts w:ascii="Calibri" w:eastAsia="Calibri" w:hAnsi="Calibri" w:cs="Calibri"/>
          <w:b/>
          <w:bCs/>
          <w:color w:val="000000"/>
          <w:sz w:val="22"/>
          <w:szCs w:val="22"/>
        </w:rPr>
        <w:t>anche dopo il 15 aprile 2020</w:t>
      </w:r>
      <w:r w:rsidRPr="003935D7">
        <w:rPr>
          <w:rFonts w:ascii="Calibri" w:eastAsia="Calibri" w:hAnsi="Calibri" w:cs="Calibri"/>
          <w:color w:val="000000"/>
          <w:sz w:val="22"/>
          <w:szCs w:val="22"/>
        </w:rPr>
        <w:t>, in ragione della particolare situazione</w:t>
      </w:r>
    </w:p>
    <w:p w14:paraId="7288E675"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organizzativa di ciascun UMC connessa all’emergenza sanitaria in atto.</w:t>
      </w:r>
    </w:p>
    <w:p w14:paraId="08FE13DD" w14:textId="77777777" w:rsidR="003935D7" w:rsidRPr="003935D7" w:rsidRDefault="003935D7" w:rsidP="003935D7">
      <w:pPr>
        <w:rPr>
          <w:rFonts w:ascii="Calibri" w:eastAsia="Calibri" w:hAnsi="Calibri" w:cs="Calibri"/>
          <w:color w:val="000000"/>
          <w:sz w:val="22"/>
          <w:szCs w:val="22"/>
        </w:rPr>
      </w:pPr>
    </w:p>
    <w:p w14:paraId="164CB46B" w14:textId="77777777" w:rsidR="003935D7" w:rsidRPr="003935D7" w:rsidRDefault="003935D7" w:rsidP="003935D7">
      <w:pPr>
        <w:rPr>
          <w:rFonts w:ascii="Calibri" w:eastAsia="Calibri" w:hAnsi="Calibri" w:cs="Calibri"/>
          <w:b/>
          <w:color w:val="000000"/>
          <w:sz w:val="22"/>
          <w:szCs w:val="22"/>
        </w:rPr>
      </w:pPr>
      <w:r w:rsidRPr="003935D7">
        <w:rPr>
          <w:rFonts w:ascii="Calibri" w:eastAsia="Calibri" w:hAnsi="Calibri" w:cs="Calibri"/>
          <w:b/>
          <w:color w:val="000000"/>
          <w:sz w:val="22"/>
          <w:szCs w:val="22"/>
        </w:rPr>
        <w:t>Proroga di validità di autorizzazioni alla circolazione (Art. 103, comma 2)</w:t>
      </w:r>
    </w:p>
    <w:p w14:paraId="17B22A04"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Nell’ambito di applicazione della norma rientrano dunque anche tutte le autorizzazioni, comunque denominate, che consentono la circolazione provvisoria di veicoli sul territorio nazionale.</w:t>
      </w:r>
    </w:p>
    <w:p w14:paraId="29029753"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 xml:space="preserve">In particolare, ANITA evidenzia di seguito l’applicabilità della proroga di validità, per </w:t>
      </w:r>
      <w:r w:rsidRPr="003935D7">
        <w:rPr>
          <w:rFonts w:ascii="Calibri" w:eastAsia="Calibri" w:hAnsi="Calibri" w:cs="Calibri"/>
          <w:b/>
          <w:bCs/>
          <w:color w:val="000000"/>
          <w:sz w:val="22"/>
          <w:szCs w:val="22"/>
        </w:rPr>
        <w:t>i documenti di maggiore interesse per il settore autotrasporto</w:t>
      </w:r>
      <w:r w:rsidRPr="003935D7">
        <w:rPr>
          <w:rFonts w:ascii="Calibri" w:eastAsia="Calibri" w:hAnsi="Calibri" w:cs="Calibri"/>
          <w:color w:val="000000"/>
          <w:sz w:val="22"/>
          <w:szCs w:val="22"/>
        </w:rPr>
        <w:t>:</w:t>
      </w:r>
    </w:p>
    <w:p w14:paraId="637403A5"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 xml:space="preserve"> - estratti della carta di circolazione rilasciati dagli UMC ai sensi dell’art. 92, comma 1, </w:t>
      </w:r>
      <w:proofErr w:type="spellStart"/>
      <w:r w:rsidRPr="003935D7">
        <w:rPr>
          <w:rFonts w:ascii="Calibri" w:eastAsia="Calibri" w:hAnsi="Calibri" w:cs="Calibri"/>
          <w:color w:val="000000"/>
          <w:sz w:val="22"/>
          <w:szCs w:val="22"/>
        </w:rPr>
        <w:t>c.d.s</w:t>
      </w:r>
      <w:proofErr w:type="spellEnd"/>
      <w:r w:rsidRPr="003935D7">
        <w:rPr>
          <w:rFonts w:ascii="Calibri" w:eastAsia="Calibri" w:hAnsi="Calibri" w:cs="Calibri"/>
          <w:color w:val="000000"/>
          <w:sz w:val="22"/>
          <w:szCs w:val="22"/>
        </w:rPr>
        <w:t xml:space="preserve">., in deroga al termine massimo di validità di 60 giorni; </w:t>
      </w:r>
    </w:p>
    <w:p w14:paraId="74BCCF7E"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  ricevuta rilasciata dalle imprese di consulenza ai sensi dell'articolo 7, comma 1, della legge 8 agosto 1991, n. 264, come previsto dall’art 92, comma 2, CDS, in deroga al termine massimo di validità di 30 giorni;</w:t>
      </w:r>
    </w:p>
    <w:p w14:paraId="0A710CF6"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 fogli di via, rilasciati ai sensi dell’art. 99 CDS., fermo restando che si tratta di autorizzazioni provvisorie non già alla circolazione “ordinaria” bensì esclusivamente finalizzata a condurre i veicoli ai transiti di confine;</w:t>
      </w:r>
    </w:p>
    <w:p w14:paraId="2E0AFA55"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 autorizzazioni alla circolazione di prova, di cui al DPR 24 novembre 2001, n. 474, per le quali non sia già pendente il procedimento di rinnovo. Inoltre, la genericità del tenore letterale della disposizione richiama nel suo ambito anche le certificazioni rilasciate all’esito di un procedimento tecnico di valutazione e accertamento.</w:t>
      </w:r>
    </w:p>
    <w:p w14:paraId="763254DC"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In conseguenza di ciò, la proroga si applica anche alla validità della autorizzazione alla circolazione relativa ai veicoli dotati di alimentazione a metano (CNG), alle prove periodiche, nell’intervallo di 3 o 6 anni, sulle cisterne, nonché alle verifiche periodiche dei veicoli in regime ATP.</w:t>
      </w:r>
    </w:p>
    <w:p w14:paraId="03EE6ECA" w14:textId="77777777" w:rsidR="003935D7" w:rsidRPr="003935D7" w:rsidRDefault="003935D7" w:rsidP="003935D7">
      <w:pPr>
        <w:rPr>
          <w:rFonts w:ascii="Calibri" w:eastAsia="Calibri" w:hAnsi="Calibri" w:cs="Calibri"/>
          <w:color w:val="000000"/>
          <w:sz w:val="22"/>
          <w:szCs w:val="22"/>
        </w:rPr>
      </w:pPr>
    </w:p>
    <w:p w14:paraId="6D1D0064" w14:textId="77777777" w:rsidR="003935D7" w:rsidRPr="003935D7" w:rsidRDefault="003935D7" w:rsidP="003935D7">
      <w:pPr>
        <w:rPr>
          <w:rFonts w:ascii="Calibri" w:eastAsia="Calibri" w:hAnsi="Calibri" w:cs="Calibri"/>
          <w:b/>
          <w:color w:val="000000"/>
          <w:sz w:val="22"/>
          <w:szCs w:val="22"/>
        </w:rPr>
      </w:pPr>
      <w:r w:rsidRPr="003935D7">
        <w:rPr>
          <w:rFonts w:ascii="Calibri" w:eastAsia="Calibri" w:hAnsi="Calibri" w:cs="Calibri"/>
          <w:b/>
          <w:color w:val="000000"/>
          <w:sz w:val="22"/>
          <w:szCs w:val="22"/>
        </w:rPr>
        <w:t>Differimento termini operazioni tecniche (Art. 92, comma 4)</w:t>
      </w:r>
    </w:p>
    <w:p w14:paraId="0CA4E156"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Per quanto attiene la revisione, la disposizione ha carattere generale e non ammette</w:t>
      </w:r>
    </w:p>
    <w:p w14:paraId="2C654E06"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eccezioni e pertanto trova applicazione con riguardo a qualunque categoria di veicolo</w:t>
      </w:r>
    </w:p>
    <w:p w14:paraId="456F1558"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soggetto all’obbligo di revisione.</w:t>
      </w:r>
    </w:p>
    <w:p w14:paraId="5192B0A7"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lastRenderedPageBreak/>
        <w:t>Si specifica, in proposito, che nessuna incombenza è richiesta in capo agli interessati in quanto la proroga è operante “</w:t>
      </w:r>
      <w:proofErr w:type="spellStart"/>
      <w:r w:rsidRPr="003935D7">
        <w:rPr>
          <w:rFonts w:ascii="Calibri" w:eastAsia="Calibri" w:hAnsi="Calibri" w:cs="Calibri"/>
          <w:color w:val="000000"/>
          <w:sz w:val="22"/>
          <w:szCs w:val="22"/>
        </w:rPr>
        <w:t>ope</w:t>
      </w:r>
      <w:proofErr w:type="spellEnd"/>
      <w:r w:rsidRPr="003935D7">
        <w:rPr>
          <w:rFonts w:ascii="Calibri" w:eastAsia="Calibri" w:hAnsi="Calibri" w:cs="Calibri"/>
          <w:color w:val="000000"/>
          <w:sz w:val="22"/>
          <w:szCs w:val="22"/>
        </w:rPr>
        <w:t xml:space="preserve"> legis”. La proroga è operante anche nel caso in cui il veicolo sia stato sottoposto a revisione con esito “ripetere” e a condizione che siano state sanate le irregolarità rilevate in tale sede.</w:t>
      </w:r>
    </w:p>
    <w:p w14:paraId="038FCECA" w14:textId="77777777" w:rsidR="003935D7" w:rsidRPr="003935D7" w:rsidRDefault="003935D7" w:rsidP="003935D7">
      <w:pPr>
        <w:rPr>
          <w:rFonts w:ascii="Calibri" w:eastAsia="Calibri" w:hAnsi="Calibri" w:cs="Calibri"/>
          <w:color w:val="000000"/>
          <w:sz w:val="22"/>
          <w:szCs w:val="22"/>
        </w:rPr>
      </w:pPr>
    </w:p>
    <w:p w14:paraId="3EFCBFE0" w14:textId="77777777" w:rsidR="003935D7" w:rsidRPr="003935D7" w:rsidRDefault="003935D7" w:rsidP="003935D7">
      <w:pPr>
        <w:rPr>
          <w:rFonts w:ascii="Calibri" w:eastAsia="Calibri" w:hAnsi="Calibri" w:cs="Calibri"/>
          <w:b/>
          <w:color w:val="000000"/>
          <w:sz w:val="22"/>
          <w:szCs w:val="22"/>
        </w:rPr>
      </w:pPr>
      <w:r w:rsidRPr="003935D7">
        <w:rPr>
          <w:rFonts w:ascii="Calibri" w:eastAsia="Calibri" w:hAnsi="Calibri" w:cs="Calibri"/>
          <w:b/>
          <w:color w:val="000000"/>
          <w:sz w:val="22"/>
          <w:szCs w:val="22"/>
        </w:rPr>
        <w:t xml:space="preserve">Attività indifferibili da rendere in presenza </w:t>
      </w:r>
    </w:p>
    <w:p w14:paraId="0159B977"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La circolare, inoltre, aggiorna l’elenco delle attività indifferibili da rendere in presenza, limitatamente alle operazioni tecniche ed amministrative di competenza degli Uffici periferici della Motorizzazione, a parziale modifica della circolare prot. n. 1565 del 17 marzo 2020.</w:t>
      </w:r>
    </w:p>
    <w:p w14:paraId="6A2CA979" w14:textId="77777777" w:rsidR="003935D7" w:rsidRPr="003935D7" w:rsidRDefault="003935D7" w:rsidP="003935D7">
      <w:pPr>
        <w:rPr>
          <w:rFonts w:ascii="Calibri" w:eastAsia="Calibri" w:hAnsi="Calibri" w:cs="Calibri"/>
          <w:color w:val="000000"/>
          <w:sz w:val="22"/>
          <w:szCs w:val="22"/>
        </w:rPr>
      </w:pPr>
    </w:p>
    <w:p w14:paraId="4E6E7D58" w14:textId="77777777" w:rsidR="003935D7" w:rsidRPr="003935D7" w:rsidRDefault="003935D7" w:rsidP="003935D7">
      <w:pPr>
        <w:rPr>
          <w:rFonts w:ascii="Calibri" w:eastAsia="Calibri" w:hAnsi="Calibri" w:cs="Calibri"/>
          <w:color w:val="000000"/>
          <w:sz w:val="22"/>
          <w:szCs w:val="22"/>
        </w:rPr>
      </w:pPr>
      <w:r w:rsidRPr="003935D7">
        <w:rPr>
          <w:rFonts w:ascii="Calibri" w:eastAsia="Calibri" w:hAnsi="Calibri" w:cs="Calibri"/>
          <w:color w:val="000000"/>
          <w:sz w:val="22"/>
          <w:szCs w:val="22"/>
        </w:rPr>
        <w:t xml:space="preserve">Si rimanda alla lettura della circolare per ogni ulteriore dettaglio. </w:t>
      </w:r>
    </w:p>
    <w:p w14:paraId="7FCB7DF8" w14:textId="77777777" w:rsidR="003935D7" w:rsidRPr="003935D7" w:rsidRDefault="003935D7" w:rsidP="003935D7">
      <w:pPr>
        <w:rPr>
          <w:rFonts w:ascii="Calibri" w:eastAsia="Calibri" w:hAnsi="Calibri" w:cs="Calibri"/>
          <w:color w:val="000000"/>
          <w:sz w:val="22"/>
          <w:szCs w:val="22"/>
        </w:rPr>
      </w:pPr>
    </w:p>
    <w:p w14:paraId="08F9DA42" w14:textId="77777777" w:rsidR="00A96510" w:rsidRPr="00A96510" w:rsidRDefault="00A96510" w:rsidP="003935D7">
      <w:pPr>
        <w:jc w:val="both"/>
        <w:rPr>
          <w:rFonts w:asciiTheme="minorHAnsi" w:hAnsiTheme="minorHAnsi"/>
          <w:b/>
          <w:bCs/>
          <w:sz w:val="22"/>
          <w:szCs w:val="22"/>
        </w:rPr>
      </w:pPr>
    </w:p>
    <w:p w14:paraId="183E2A6F" w14:textId="77777777" w:rsidR="009F47D2" w:rsidRPr="002173D8" w:rsidRDefault="009F47D2" w:rsidP="002043B0">
      <w:pPr>
        <w:autoSpaceDE w:val="0"/>
        <w:autoSpaceDN w:val="0"/>
        <w:adjustRightInd w:val="0"/>
        <w:jc w:val="both"/>
        <w:rPr>
          <w:rFonts w:asciiTheme="minorHAnsi" w:hAnsiTheme="minorHAnsi" w:cs="Tahoma"/>
          <w:sz w:val="22"/>
          <w:szCs w:val="22"/>
        </w:rPr>
      </w:pPr>
    </w:p>
    <w:p w14:paraId="13CA8ACD" w14:textId="77777777" w:rsidR="00EB6E6C" w:rsidRDefault="00EB6E6C" w:rsidP="002043B0">
      <w:pPr>
        <w:autoSpaceDE w:val="0"/>
        <w:autoSpaceDN w:val="0"/>
        <w:adjustRightInd w:val="0"/>
        <w:jc w:val="both"/>
        <w:rPr>
          <w:rFonts w:asciiTheme="minorHAnsi" w:hAnsiTheme="minorHAnsi" w:cs="Tahoma"/>
          <w:b/>
          <w:bCs/>
          <w:sz w:val="22"/>
          <w:szCs w:val="22"/>
        </w:rPr>
      </w:pPr>
    </w:p>
    <w:p w14:paraId="754B433B" w14:textId="77777777" w:rsidR="00EB6E6C" w:rsidRDefault="00EB6E6C" w:rsidP="002043B0">
      <w:pPr>
        <w:autoSpaceDE w:val="0"/>
        <w:autoSpaceDN w:val="0"/>
        <w:adjustRightInd w:val="0"/>
        <w:jc w:val="both"/>
        <w:rPr>
          <w:rFonts w:asciiTheme="minorHAnsi" w:hAnsiTheme="minorHAnsi" w:cs="Tahoma"/>
          <w:b/>
          <w:bCs/>
          <w:sz w:val="22"/>
          <w:szCs w:val="22"/>
        </w:rPr>
      </w:pPr>
    </w:p>
    <w:p w14:paraId="515CC546" w14:textId="77777777" w:rsidR="00EB6E6C" w:rsidRDefault="00EB6E6C" w:rsidP="002043B0">
      <w:pPr>
        <w:autoSpaceDE w:val="0"/>
        <w:autoSpaceDN w:val="0"/>
        <w:adjustRightInd w:val="0"/>
        <w:jc w:val="both"/>
        <w:rPr>
          <w:rFonts w:asciiTheme="minorHAnsi" w:hAnsiTheme="minorHAnsi" w:cs="Tahoma"/>
          <w:b/>
          <w:bCs/>
          <w:sz w:val="22"/>
          <w:szCs w:val="22"/>
        </w:rPr>
      </w:pPr>
    </w:p>
    <w:p w14:paraId="58C20922" w14:textId="58EBCA9E" w:rsidR="008C1069" w:rsidRPr="00691177" w:rsidRDefault="008C1069" w:rsidP="002043B0">
      <w:pPr>
        <w:autoSpaceDE w:val="0"/>
        <w:autoSpaceDN w:val="0"/>
        <w:adjustRightInd w:val="0"/>
        <w:jc w:val="both"/>
        <w:rPr>
          <w:rFonts w:asciiTheme="minorHAnsi" w:hAnsiTheme="minorHAnsi" w:cs="Tahoma"/>
          <w:b/>
          <w:bCs/>
          <w:sz w:val="22"/>
          <w:szCs w:val="22"/>
        </w:rPr>
      </w:pPr>
      <w:r w:rsidRPr="00691177">
        <w:rPr>
          <w:rFonts w:asciiTheme="minorHAnsi" w:hAnsiTheme="minorHAnsi" w:cs="Tahoma"/>
          <w:b/>
          <w:bCs/>
          <w:sz w:val="22"/>
          <w:szCs w:val="22"/>
        </w:rPr>
        <w:t>Riferimenti:</w:t>
      </w:r>
    </w:p>
    <w:p w14:paraId="26E5523E" w14:textId="77777777" w:rsidR="008C1069" w:rsidRPr="00691177" w:rsidRDefault="008C1069" w:rsidP="002043B0">
      <w:pPr>
        <w:autoSpaceDE w:val="0"/>
        <w:autoSpaceDN w:val="0"/>
        <w:adjustRightInd w:val="0"/>
        <w:jc w:val="both"/>
        <w:rPr>
          <w:rFonts w:asciiTheme="minorHAnsi" w:hAnsiTheme="minorHAnsi" w:cs="Tahoma"/>
          <w:sz w:val="22"/>
          <w:szCs w:val="22"/>
        </w:rPr>
      </w:pPr>
      <w:r w:rsidRPr="00691177">
        <w:rPr>
          <w:rFonts w:asciiTheme="minorHAnsi" w:hAnsiTheme="minorHAnsi" w:cs="Tahoma"/>
          <w:sz w:val="22"/>
          <w:szCs w:val="22"/>
        </w:rPr>
        <w:t xml:space="preserve">Confindustria Umbria - Area Ambiente e Sicurezza – </w:t>
      </w:r>
      <w:hyperlink r:id="rId7" w:history="1">
        <w:r w:rsidRPr="00691177">
          <w:rPr>
            <w:rStyle w:val="Collegamentoipertestuale"/>
            <w:rFonts w:asciiTheme="minorHAnsi" w:hAnsiTheme="minorHAnsi" w:cs="Tahoma"/>
            <w:sz w:val="22"/>
            <w:szCs w:val="22"/>
          </w:rPr>
          <w:t>trasporti@confindustria.umbria.it</w:t>
        </w:r>
      </w:hyperlink>
    </w:p>
    <w:p w14:paraId="4690D5C9" w14:textId="77777777" w:rsidR="008C1069" w:rsidRPr="00691177" w:rsidRDefault="008C1069" w:rsidP="002043B0">
      <w:pPr>
        <w:autoSpaceDE w:val="0"/>
        <w:autoSpaceDN w:val="0"/>
        <w:adjustRightInd w:val="0"/>
        <w:jc w:val="both"/>
        <w:rPr>
          <w:rFonts w:asciiTheme="minorHAnsi" w:hAnsiTheme="minorHAnsi" w:cs="Tahoma"/>
          <w:sz w:val="22"/>
          <w:szCs w:val="22"/>
        </w:rPr>
      </w:pPr>
      <w:r w:rsidRPr="00691177">
        <w:rPr>
          <w:rFonts w:asciiTheme="minorHAnsi" w:hAnsiTheme="minorHAnsi" w:cs="Tahoma"/>
          <w:sz w:val="22"/>
          <w:szCs w:val="22"/>
        </w:rPr>
        <w:t>Dott. Dominici Tel. 0744/443418 - Dott. Di Matteo Tel. 075/5820227</w:t>
      </w:r>
    </w:p>
    <w:p w14:paraId="1F8F609C" w14:textId="2DB127BB" w:rsidR="005368B1" w:rsidRPr="00691177" w:rsidRDefault="005368B1" w:rsidP="00691177">
      <w:pPr>
        <w:tabs>
          <w:tab w:val="left" w:pos="720"/>
          <w:tab w:val="left" w:pos="900"/>
          <w:tab w:val="left" w:pos="1260"/>
          <w:tab w:val="left" w:pos="5580"/>
          <w:tab w:val="left" w:pos="6120"/>
        </w:tabs>
        <w:ind w:left="142"/>
        <w:jc w:val="right"/>
        <w:rPr>
          <w:rFonts w:asciiTheme="minorHAnsi" w:hAnsiTheme="minorHAnsi" w:cs="Arial"/>
          <w:sz w:val="22"/>
          <w:szCs w:val="22"/>
        </w:rPr>
      </w:pPr>
    </w:p>
    <w:p w14:paraId="004DFEF0" w14:textId="4B39F409" w:rsidR="00496EE7" w:rsidRPr="00691177" w:rsidRDefault="00496EE7" w:rsidP="00691177">
      <w:pPr>
        <w:tabs>
          <w:tab w:val="left" w:pos="720"/>
          <w:tab w:val="left" w:pos="900"/>
          <w:tab w:val="left" w:pos="1260"/>
          <w:tab w:val="left" w:pos="5580"/>
          <w:tab w:val="left" w:pos="6120"/>
        </w:tabs>
        <w:ind w:left="142"/>
        <w:jc w:val="right"/>
        <w:rPr>
          <w:rFonts w:asciiTheme="minorHAnsi" w:hAnsiTheme="minorHAnsi" w:cs="Arial"/>
          <w:sz w:val="22"/>
          <w:szCs w:val="22"/>
        </w:rPr>
      </w:pPr>
    </w:p>
    <w:p w14:paraId="7D03BF36" w14:textId="608D7384" w:rsidR="00496EE7" w:rsidRDefault="00496EE7" w:rsidP="00691177">
      <w:pPr>
        <w:tabs>
          <w:tab w:val="left" w:pos="720"/>
          <w:tab w:val="left" w:pos="900"/>
          <w:tab w:val="left" w:pos="1260"/>
          <w:tab w:val="left" w:pos="5580"/>
          <w:tab w:val="left" w:pos="6120"/>
        </w:tabs>
        <w:ind w:left="142"/>
        <w:jc w:val="right"/>
        <w:rPr>
          <w:rFonts w:asciiTheme="minorHAnsi" w:hAnsiTheme="minorHAnsi" w:cs="Arial"/>
          <w:sz w:val="22"/>
          <w:szCs w:val="22"/>
        </w:rPr>
      </w:pPr>
    </w:p>
    <w:p w14:paraId="2D958125" w14:textId="77777777" w:rsidR="008A3087" w:rsidRPr="00691177" w:rsidRDefault="008A3087" w:rsidP="00691177">
      <w:pPr>
        <w:tabs>
          <w:tab w:val="left" w:pos="720"/>
          <w:tab w:val="left" w:pos="900"/>
          <w:tab w:val="left" w:pos="1260"/>
          <w:tab w:val="left" w:pos="5580"/>
          <w:tab w:val="left" w:pos="6120"/>
        </w:tabs>
        <w:ind w:left="142"/>
        <w:jc w:val="right"/>
        <w:rPr>
          <w:rFonts w:asciiTheme="minorHAnsi" w:hAnsiTheme="minorHAnsi" w:cs="Arial"/>
          <w:sz w:val="22"/>
          <w:szCs w:val="22"/>
        </w:rPr>
      </w:pPr>
    </w:p>
    <w:p w14:paraId="6CFEE0C5" w14:textId="27B55D2B" w:rsidR="00FA09FD" w:rsidRPr="00691177" w:rsidRDefault="00FA09FD" w:rsidP="00691177">
      <w:pPr>
        <w:tabs>
          <w:tab w:val="left" w:pos="720"/>
          <w:tab w:val="left" w:pos="900"/>
          <w:tab w:val="left" w:pos="1260"/>
          <w:tab w:val="left" w:pos="5580"/>
          <w:tab w:val="left" w:pos="6120"/>
        </w:tabs>
        <w:ind w:left="142"/>
        <w:jc w:val="right"/>
        <w:rPr>
          <w:rFonts w:asciiTheme="minorHAnsi" w:hAnsiTheme="minorHAnsi" w:cs="Arial"/>
          <w:sz w:val="22"/>
          <w:szCs w:val="22"/>
        </w:rPr>
      </w:pPr>
      <w:r w:rsidRPr="00691177">
        <w:rPr>
          <w:rFonts w:asciiTheme="minorHAnsi" w:hAnsiTheme="minorHAnsi" w:cs="Arial"/>
          <w:sz w:val="22"/>
          <w:szCs w:val="22"/>
        </w:rPr>
        <w:t xml:space="preserve">Pubblicata il </w:t>
      </w:r>
      <w:r w:rsidR="00351EF5">
        <w:rPr>
          <w:rFonts w:asciiTheme="minorHAnsi" w:hAnsiTheme="minorHAnsi" w:cs="Arial"/>
          <w:sz w:val="22"/>
          <w:szCs w:val="22"/>
        </w:rPr>
        <w:t>24</w:t>
      </w:r>
      <w:r w:rsidR="00E73686" w:rsidRPr="00691177">
        <w:rPr>
          <w:rFonts w:asciiTheme="minorHAnsi" w:hAnsiTheme="minorHAnsi" w:cs="Arial"/>
          <w:sz w:val="22"/>
          <w:szCs w:val="22"/>
        </w:rPr>
        <w:t>/03</w:t>
      </w:r>
      <w:r w:rsidR="00051C34" w:rsidRPr="00691177">
        <w:rPr>
          <w:rFonts w:asciiTheme="minorHAnsi" w:hAnsiTheme="minorHAnsi" w:cs="Arial"/>
          <w:sz w:val="22"/>
          <w:szCs w:val="22"/>
        </w:rPr>
        <w:t>/2020</w:t>
      </w:r>
    </w:p>
    <w:sectPr w:rsidR="00FA09FD" w:rsidRPr="00691177"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C0E68" w14:textId="77777777" w:rsidR="00F516D8" w:rsidRDefault="00F516D8">
      <w:r>
        <w:separator/>
      </w:r>
    </w:p>
  </w:endnote>
  <w:endnote w:type="continuationSeparator" w:id="0">
    <w:p w14:paraId="657E6ABD" w14:textId="77777777" w:rsidR="00F516D8" w:rsidRDefault="00F5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C5BBE" w14:textId="77777777" w:rsidR="00F516D8" w:rsidRDefault="00F516D8">
      <w:r>
        <w:separator/>
      </w:r>
    </w:p>
  </w:footnote>
  <w:footnote w:type="continuationSeparator" w:id="0">
    <w:p w14:paraId="5F809370" w14:textId="77777777" w:rsidR="00F516D8" w:rsidRDefault="00F5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8DD"/>
    <w:multiLevelType w:val="hybridMultilevel"/>
    <w:tmpl w:val="DA76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114331"/>
    <w:multiLevelType w:val="multilevel"/>
    <w:tmpl w:val="DC14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B2E"/>
    <w:multiLevelType w:val="hybridMultilevel"/>
    <w:tmpl w:val="607833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6EC0CB5"/>
    <w:multiLevelType w:val="hybridMultilevel"/>
    <w:tmpl w:val="751E76B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F12EF"/>
    <w:multiLevelType w:val="hybridMultilevel"/>
    <w:tmpl w:val="7B3418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F145DA"/>
    <w:multiLevelType w:val="hybridMultilevel"/>
    <w:tmpl w:val="201E8E86"/>
    <w:lvl w:ilvl="0" w:tplc="684CCA6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EB0D5F"/>
    <w:multiLevelType w:val="hybridMultilevel"/>
    <w:tmpl w:val="68CE3FC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8DE0175"/>
    <w:multiLevelType w:val="hybridMultilevel"/>
    <w:tmpl w:val="FEF47AEE"/>
    <w:lvl w:ilvl="0" w:tplc="EF2AC8EE">
      <w:start w:val="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1224DC"/>
    <w:multiLevelType w:val="hybridMultilevel"/>
    <w:tmpl w:val="78DA9DF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A331704"/>
    <w:multiLevelType w:val="hybridMultilevel"/>
    <w:tmpl w:val="EC52CB0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2" w15:restartNumberingAfterBreak="0">
    <w:nsid w:val="2C277EA0"/>
    <w:multiLevelType w:val="hybridMultilevel"/>
    <w:tmpl w:val="41A0FDA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2F591DFB"/>
    <w:multiLevelType w:val="multilevel"/>
    <w:tmpl w:val="B64E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558F8"/>
    <w:multiLevelType w:val="hybridMultilevel"/>
    <w:tmpl w:val="4D9E34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5" w15:restartNumberingAfterBreak="0">
    <w:nsid w:val="34F12CDE"/>
    <w:multiLevelType w:val="hybridMultilevel"/>
    <w:tmpl w:val="B66251D6"/>
    <w:lvl w:ilvl="0" w:tplc="09600B7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536FDE"/>
    <w:multiLevelType w:val="hybridMultilevel"/>
    <w:tmpl w:val="28DE197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370C791D"/>
    <w:multiLevelType w:val="hybridMultilevel"/>
    <w:tmpl w:val="4872A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974F54"/>
    <w:multiLevelType w:val="hybridMultilevel"/>
    <w:tmpl w:val="DDDAAB2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354B71"/>
    <w:multiLevelType w:val="hybridMultilevel"/>
    <w:tmpl w:val="F8847D2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6A7D0835"/>
    <w:multiLevelType w:val="hybridMultilevel"/>
    <w:tmpl w:val="BB52B5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BEC084E"/>
    <w:multiLevelType w:val="hybridMultilevel"/>
    <w:tmpl w:val="DC064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986836"/>
    <w:multiLevelType w:val="hybridMultilevel"/>
    <w:tmpl w:val="4A86528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4" w15:restartNumberingAfterBreak="0">
    <w:nsid w:val="759A749D"/>
    <w:multiLevelType w:val="hybridMultilevel"/>
    <w:tmpl w:val="E66A19A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6BA07ED"/>
    <w:multiLevelType w:val="hybridMultilevel"/>
    <w:tmpl w:val="89A2A42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784120B2"/>
    <w:multiLevelType w:val="hybridMultilevel"/>
    <w:tmpl w:val="CF68569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78A94B37"/>
    <w:multiLevelType w:val="hybridMultilevel"/>
    <w:tmpl w:val="6FE4F94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abstractNumId w:val="2"/>
  </w:num>
  <w:num w:numId="2">
    <w:abstractNumId w:val="19"/>
  </w:num>
  <w:num w:numId="3">
    <w:abstractNumId w:val="5"/>
  </w:num>
  <w:num w:numId="4">
    <w:abstractNumId w:val="24"/>
  </w:num>
  <w:num w:numId="5">
    <w:abstractNumId w:val="26"/>
  </w:num>
  <w:num w:numId="6">
    <w:abstractNumId w:val="6"/>
  </w:num>
  <w:num w:numId="7">
    <w:abstractNumId w:val="15"/>
  </w:num>
  <w:num w:numId="8">
    <w:abstractNumId w:val="21"/>
  </w:num>
  <w:num w:numId="9">
    <w:abstractNumId w:val="18"/>
  </w:num>
  <w:num w:numId="10">
    <w:abstractNumId w:val="8"/>
  </w:num>
  <w:num w:numId="11">
    <w:abstractNumId w:val="25"/>
  </w:num>
  <w:num w:numId="12">
    <w:abstractNumId w:val="11"/>
  </w:num>
  <w:num w:numId="13">
    <w:abstractNumId w:val="10"/>
  </w:num>
  <w:num w:numId="14">
    <w:abstractNumId w:val="20"/>
  </w:num>
  <w:num w:numId="15">
    <w:abstractNumId w:val="27"/>
  </w:num>
  <w:num w:numId="16">
    <w:abstractNumId w:val="3"/>
  </w:num>
  <w:num w:numId="17">
    <w:abstractNumId w:val="23"/>
  </w:num>
  <w:num w:numId="18">
    <w:abstractNumId w:val="7"/>
  </w:num>
  <w:num w:numId="19">
    <w:abstractNumId w:val="16"/>
  </w:num>
  <w:num w:numId="20">
    <w:abstractNumId w:val="1"/>
  </w:num>
  <w:num w:numId="21">
    <w:abstractNumId w:val="22"/>
  </w:num>
  <w:num w:numId="22">
    <w:abstractNumId w:val="0"/>
  </w:num>
  <w:num w:numId="23">
    <w:abstractNumId w:val="17"/>
  </w:num>
  <w:num w:numId="24">
    <w:abstractNumId w:val="12"/>
  </w:num>
  <w:num w:numId="25">
    <w:abstractNumId w:val="4"/>
  </w:num>
  <w:num w:numId="26">
    <w:abstractNumId w:val="14"/>
  </w:num>
  <w:num w:numId="27">
    <w:abstractNumId w:val="9"/>
  </w:num>
  <w:num w:numId="28">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0911"/>
    <w:rsid w:val="000018C4"/>
    <w:rsid w:val="0000679D"/>
    <w:rsid w:val="00012D58"/>
    <w:rsid w:val="00014CFE"/>
    <w:rsid w:val="00015150"/>
    <w:rsid w:val="0001553C"/>
    <w:rsid w:val="00015A06"/>
    <w:rsid w:val="00017F8A"/>
    <w:rsid w:val="00022C88"/>
    <w:rsid w:val="00031409"/>
    <w:rsid w:val="00031C9A"/>
    <w:rsid w:val="00036369"/>
    <w:rsid w:val="00037418"/>
    <w:rsid w:val="00040563"/>
    <w:rsid w:val="00040CFB"/>
    <w:rsid w:val="00040E13"/>
    <w:rsid w:val="000504FC"/>
    <w:rsid w:val="00050790"/>
    <w:rsid w:val="000508B8"/>
    <w:rsid w:val="00051C34"/>
    <w:rsid w:val="00052071"/>
    <w:rsid w:val="00052711"/>
    <w:rsid w:val="000539CB"/>
    <w:rsid w:val="00055C3C"/>
    <w:rsid w:val="00057F65"/>
    <w:rsid w:val="0006625B"/>
    <w:rsid w:val="00067E67"/>
    <w:rsid w:val="000735F4"/>
    <w:rsid w:val="00074106"/>
    <w:rsid w:val="00076E3E"/>
    <w:rsid w:val="00084269"/>
    <w:rsid w:val="00085286"/>
    <w:rsid w:val="0009034E"/>
    <w:rsid w:val="000903E8"/>
    <w:rsid w:val="00093B32"/>
    <w:rsid w:val="000A464B"/>
    <w:rsid w:val="000A47FE"/>
    <w:rsid w:val="000A66E5"/>
    <w:rsid w:val="000A711D"/>
    <w:rsid w:val="000B11E1"/>
    <w:rsid w:val="000B2CE3"/>
    <w:rsid w:val="000B6BA7"/>
    <w:rsid w:val="000B78E3"/>
    <w:rsid w:val="000B7C0F"/>
    <w:rsid w:val="000B7C86"/>
    <w:rsid w:val="000C0F7F"/>
    <w:rsid w:val="000C1232"/>
    <w:rsid w:val="000C2783"/>
    <w:rsid w:val="000C3208"/>
    <w:rsid w:val="000C5816"/>
    <w:rsid w:val="000D0E46"/>
    <w:rsid w:val="000D1665"/>
    <w:rsid w:val="000D258E"/>
    <w:rsid w:val="000D3FED"/>
    <w:rsid w:val="000D60F4"/>
    <w:rsid w:val="000D7190"/>
    <w:rsid w:val="000F3879"/>
    <w:rsid w:val="000F5C17"/>
    <w:rsid w:val="000F75D4"/>
    <w:rsid w:val="00100ED7"/>
    <w:rsid w:val="00102C5A"/>
    <w:rsid w:val="001031E9"/>
    <w:rsid w:val="00115A2B"/>
    <w:rsid w:val="0012199E"/>
    <w:rsid w:val="00121D8E"/>
    <w:rsid w:val="00123130"/>
    <w:rsid w:val="0013046D"/>
    <w:rsid w:val="0013094C"/>
    <w:rsid w:val="0013516E"/>
    <w:rsid w:val="0013518B"/>
    <w:rsid w:val="00142577"/>
    <w:rsid w:val="00147E07"/>
    <w:rsid w:val="00151BDD"/>
    <w:rsid w:val="00156558"/>
    <w:rsid w:val="00162CFC"/>
    <w:rsid w:val="00174B4A"/>
    <w:rsid w:val="00175A85"/>
    <w:rsid w:val="00177767"/>
    <w:rsid w:val="0018111E"/>
    <w:rsid w:val="00184B48"/>
    <w:rsid w:val="001867E9"/>
    <w:rsid w:val="00187B99"/>
    <w:rsid w:val="00190AD1"/>
    <w:rsid w:val="00191BDF"/>
    <w:rsid w:val="001920C8"/>
    <w:rsid w:val="001A0EA6"/>
    <w:rsid w:val="001A326F"/>
    <w:rsid w:val="001A3F4A"/>
    <w:rsid w:val="001A5F97"/>
    <w:rsid w:val="001B0991"/>
    <w:rsid w:val="001B0B61"/>
    <w:rsid w:val="001B6900"/>
    <w:rsid w:val="001B7ED8"/>
    <w:rsid w:val="001C016B"/>
    <w:rsid w:val="001C40EE"/>
    <w:rsid w:val="001D02EF"/>
    <w:rsid w:val="001D4E62"/>
    <w:rsid w:val="001D535B"/>
    <w:rsid w:val="001D7618"/>
    <w:rsid w:val="001D7F3D"/>
    <w:rsid w:val="001E08BB"/>
    <w:rsid w:val="001E19DF"/>
    <w:rsid w:val="001E3E0D"/>
    <w:rsid w:val="001E4FE6"/>
    <w:rsid w:val="001E720B"/>
    <w:rsid w:val="001F5160"/>
    <w:rsid w:val="001F57A6"/>
    <w:rsid w:val="001F7A14"/>
    <w:rsid w:val="00202F9D"/>
    <w:rsid w:val="00203224"/>
    <w:rsid w:val="002043B0"/>
    <w:rsid w:val="00207C24"/>
    <w:rsid w:val="00210372"/>
    <w:rsid w:val="00210ED4"/>
    <w:rsid w:val="002131BC"/>
    <w:rsid w:val="002161EA"/>
    <w:rsid w:val="002166C4"/>
    <w:rsid w:val="002173D8"/>
    <w:rsid w:val="0022003E"/>
    <w:rsid w:val="00234FFA"/>
    <w:rsid w:val="00235BB7"/>
    <w:rsid w:val="002369AB"/>
    <w:rsid w:val="00237B46"/>
    <w:rsid w:val="00243355"/>
    <w:rsid w:val="00243A70"/>
    <w:rsid w:val="00251D4B"/>
    <w:rsid w:val="00254B89"/>
    <w:rsid w:val="00256DDA"/>
    <w:rsid w:val="00261DFC"/>
    <w:rsid w:val="00261EB5"/>
    <w:rsid w:val="00263DC8"/>
    <w:rsid w:val="00263ECC"/>
    <w:rsid w:val="00267AF5"/>
    <w:rsid w:val="002743A5"/>
    <w:rsid w:val="0027733B"/>
    <w:rsid w:val="00281D98"/>
    <w:rsid w:val="002864AB"/>
    <w:rsid w:val="002878D5"/>
    <w:rsid w:val="002923C6"/>
    <w:rsid w:val="00292A35"/>
    <w:rsid w:val="0029389C"/>
    <w:rsid w:val="002A070A"/>
    <w:rsid w:val="002A1E99"/>
    <w:rsid w:val="002B7EEB"/>
    <w:rsid w:val="002C2D69"/>
    <w:rsid w:val="002C6967"/>
    <w:rsid w:val="002D128B"/>
    <w:rsid w:val="002D1D07"/>
    <w:rsid w:val="002D3D96"/>
    <w:rsid w:val="002D5131"/>
    <w:rsid w:val="002E0AB5"/>
    <w:rsid w:val="002E1DC5"/>
    <w:rsid w:val="002E1E84"/>
    <w:rsid w:val="002E237F"/>
    <w:rsid w:val="002E3DC7"/>
    <w:rsid w:val="002E6FBF"/>
    <w:rsid w:val="002E7598"/>
    <w:rsid w:val="002F173E"/>
    <w:rsid w:val="002F418F"/>
    <w:rsid w:val="002F42D1"/>
    <w:rsid w:val="002F4384"/>
    <w:rsid w:val="002F577A"/>
    <w:rsid w:val="002F7ACD"/>
    <w:rsid w:val="00302239"/>
    <w:rsid w:val="00303EF7"/>
    <w:rsid w:val="00313337"/>
    <w:rsid w:val="00314FAD"/>
    <w:rsid w:val="003170BA"/>
    <w:rsid w:val="003209FF"/>
    <w:rsid w:val="00320C95"/>
    <w:rsid w:val="00322A6F"/>
    <w:rsid w:val="003259B9"/>
    <w:rsid w:val="00326B28"/>
    <w:rsid w:val="0033105D"/>
    <w:rsid w:val="0033361D"/>
    <w:rsid w:val="00334062"/>
    <w:rsid w:val="003405C4"/>
    <w:rsid w:val="00343ACA"/>
    <w:rsid w:val="00350A0A"/>
    <w:rsid w:val="00351EF5"/>
    <w:rsid w:val="00355CF5"/>
    <w:rsid w:val="0035760C"/>
    <w:rsid w:val="00361447"/>
    <w:rsid w:val="0036390C"/>
    <w:rsid w:val="00363E3E"/>
    <w:rsid w:val="00366AF0"/>
    <w:rsid w:val="00366DB7"/>
    <w:rsid w:val="00370580"/>
    <w:rsid w:val="003756AB"/>
    <w:rsid w:val="00376950"/>
    <w:rsid w:val="00376AC3"/>
    <w:rsid w:val="00381A37"/>
    <w:rsid w:val="00381EA8"/>
    <w:rsid w:val="00384464"/>
    <w:rsid w:val="0038664E"/>
    <w:rsid w:val="00391B52"/>
    <w:rsid w:val="00392FD4"/>
    <w:rsid w:val="003935D7"/>
    <w:rsid w:val="003935F3"/>
    <w:rsid w:val="00395256"/>
    <w:rsid w:val="0039681E"/>
    <w:rsid w:val="003A376E"/>
    <w:rsid w:val="003A79EB"/>
    <w:rsid w:val="003B232D"/>
    <w:rsid w:val="003B2A5D"/>
    <w:rsid w:val="003B4D06"/>
    <w:rsid w:val="003B5C6C"/>
    <w:rsid w:val="003B6F61"/>
    <w:rsid w:val="003C2FA9"/>
    <w:rsid w:val="003C5532"/>
    <w:rsid w:val="003C6CDD"/>
    <w:rsid w:val="003D27AD"/>
    <w:rsid w:val="003D5B6A"/>
    <w:rsid w:val="003E4FF5"/>
    <w:rsid w:val="003F06ED"/>
    <w:rsid w:val="003F182D"/>
    <w:rsid w:val="003F193E"/>
    <w:rsid w:val="003F1DA7"/>
    <w:rsid w:val="003F304D"/>
    <w:rsid w:val="003F4FCA"/>
    <w:rsid w:val="00400D03"/>
    <w:rsid w:val="0040107B"/>
    <w:rsid w:val="004016F0"/>
    <w:rsid w:val="00406030"/>
    <w:rsid w:val="00410350"/>
    <w:rsid w:val="00416468"/>
    <w:rsid w:val="004166FC"/>
    <w:rsid w:val="00416739"/>
    <w:rsid w:val="004176D9"/>
    <w:rsid w:val="00421C81"/>
    <w:rsid w:val="00422AFC"/>
    <w:rsid w:val="0042628C"/>
    <w:rsid w:val="004310C8"/>
    <w:rsid w:val="0043172E"/>
    <w:rsid w:val="00431A31"/>
    <w:rsid w:val="004334F8"/>
    <w:rsid w:val="00434368"/>
    <w:rsid w:val="004367B1"/>
    <w:rsid w:val="00442941"/>
    <w:rsid w:val="00444823"/>
    <w:rsid w:val="004505AF"/>
    <w:rsid w:val="00452C6F"/>
    <w:rsid w:val="004533F1"/>
    <w:rsid w:val="00453F9C"/>
    <w:rsid w:val="004545E4"/>
    <w:rsid w:val="00460490"/>
    <w:rsid w:val="00460B90"/>
    <w:rsid w:val="004703A2"/>
    <w:rsid w:val="00472D2B"/>
    <w:rsid w:val="00473B65"/>
    <w:rsid w:val="00474617"/>
    <w:rsid w:val="0048380D"/>
    <w:rsid w:val="00484727"/>
    <w:rsid w:val="0049009F"/>
    <w:rsid w:val="00490346"/>
    <w:rsid w:val="00492040"/>
    <w:rsid w:val="00492B5B"/>
    <w:rsid w:val="00494647"/>
    <w:rsid w:val="00495AA2"/>
    <w:rsid w:val="00496EE7"/>
    <w:rsid w:val="004A1967"/>
    <w:rsid w:val="004A2834"/>
    <w:rsid w:val="004B34AC"/>
    <w:rsid w:val="004B6757"/>
    <w:rsid w:val="004B6949"/>
    <w:rsid w:val="004B7346"/>
    <w:rsid w:val="004C2CC8"/>
    <w:rsid w:val="004C674B"/>
    <w:rsid w:val="004D0745"/>
    <w:rsid w:val="004D0D80"/>
    <w:rsid w:val="004D11B2"/>
    <w:rsid w:val="004D1867"/>
    <w:rsid w:val="004D48E8"/>
    <w:rsid w:val="004D4C6D"/>
    <w:rsid w:val="004D6689"/>
    <w:rsid w:val="004D74A6"/>
    <w:rsid w:val="004E0327"/>
    <w:rsid w:val="004E072C"/>
    <w:rsid w:val="004E4D74"/>
    <w:rsid w:val="004E651F"/>
    <w:rsid w:val="004E6896"/>
    <w:rsid w:val="004F1D5D"/>
    <w:rsid w:val="004F2ABA"/>
    <w:rsid w:val="004F6EDA"/>
    <w:rsid w:val="00500EA1"/>
    <w:rsid w:val="00511A18"/>
    <w:rsid w:val="00512035"/>
    <w:rsid w:val="00512468"/>
    <w:rsid w:val="00513E65"/>
    <w:rsid w:val="0051764A"/>
    <w:rsid w:val="00523407"/>
    <w:rsid w:val="00524EFB"/>
    <w:rsid w:val="00526E6C"/>
    <w:rsid w:val="00530CE2"/>
    <w:rsid w:val="00531CA4"/>
    <w:rsid w:val="005346F7"/>
    <w:rsid w:val="0053609D"/>
    <w:rsid w:val="0053678B"/>
    <w:rsid w:val="005368B1"/>
    <w:rsid w:val="00537F82"/>
    <w:rsid w:val="00541BC3"/>
    <w:rsid w:val="00544C14"/>
    <w:rsid w:val="005456CC"/>
    <w:rsid w:val="00550830"/>
    <w:rsid w:val="00552ED0"/>
    <w:rsid w:val="00555C30"/>
    <w:rsid w:val="00557664"/>
    <w:rsid w:val="00557C82"/>
    <w:rsid w:val="00562B53"/>
    <w:rsid w:val="00563034"/>
    <w:rsid w:val="005639BB"/>
    <w:rsid w:val="005647F1"/>
    <w:rsid w:val="005648A3"/>
    <w:rsid w:val="00565BA4"/>
    <w:rsid w:val="00565E25"/>
    <w:rsid w:val="0056754F"/>
    <w:rsid w:val="00570834"/>
    <w:rsid w:val="00571AA5"/>
    <w:rsid w:val="0057317C"/>
    <w:rsid w:val="00574D31"/>
    <w:rsid w:val="00575424"/>
    <w:rsid w:val="0058015A"/>
    <w:rsid w:val="005820FC"/>
    <w:rsid w:val="005835E0"/>
    <w:rsid w:val="0058445F"/>
    <w:rsid w:val="00584B1D"/>
    <w:rsid w:val="005858EE"/>
    <w:rsid w:val="00586269"/>
    <w:rsid w:val="00587A72"/>
    <w:rsid w:val="00594EA8"/>
    <w:rsid w:val="00597481"/>
    <w:rsid w:val="005A192E"/>
    <w:rsid w:val="005A29F4"/>
    <w:rsid w:val="005A5E55"/>
    <w:rsid w:val="005B0A5E"/>
    <w:rsid w:val="005B0AAD"/>
    <w:rsid w:val="005B305A"/>
    <w:rsid w:val="005B606F"/>
    <w:rsid w:val="005B700F"/>
    <w:rsid w:val="005C2A8D"/>
    <w:rsid w:val="005C51D8"/>
    <w:rsid w:val="005C626A"/>
    <w:rsid w:val="005C6386"/>
    <w:rsid w:val="005C760F"/>
    <w:rsid w:val="005D46EE"/>
    <w:rsid w:val="005E2816"/>
    <w:rsid w:val="005E458A"/>
    <w:rsid w:val="005E5DA8"/>
    <w:rsid w:val="005F4278"/>
    <w:rsid w:val="00606744"/>
    <w:rsid w:val="00607CBF"/>
    <w:rsid w:val="00611889"/>
    <w:rsid w:val="00621DA9"/>
    <w:rsid w:val="00624B5A"/>
    <w:rsid w:val="00630AEF"/>
    <w:rsid w:val="00632F96"/>
    <w:rsid w:val="00634F20"/>
    <w:rsid w:val="00636216"/>
    <w:rsid w:val="006369D8"/>
    <w:rsid w:val="006411A6"/>
    <w:rsid w:val="00641A35"/>
    <w:rsid w:val="00641CBB"/>
    <w:rsid w:val="00641D27"/>
    <w:rsid w:val="00642A8C"/>
    <w:rsid w:val="00642F84"/>
    <w:rsid w:val="00645EDE"/>
    <w:rsid w:val="00650D6B"/>
    <w:rsid w:val="0065619B"/>
    <w:rsid w:val="00657B1A"/>
    <w:rsid w:val="00660F83"/>
    <w:rsid w:val="00670405"/>
    <w:rsid w:val="0067055C"/>
    <w:rsid w:val="0067483E"/>
    <w:rsid w:val="0067573D"/>
    <w:rsid w:val="00677621"/>
    <w:rsid w:val="0068142C"/>
    <w:rsid w:val="00690E9B"/>
    <w:rsid w:val="00691177"/>
    <w:rsid w:val="00691D13"/>
    <w:rsid w:val="00696918"/>
    <w:rsid w:val="006A01F4"/>
    <w:rsid w:val="006A0AE9"/>
    <w:rsid w:val="006A30FE"/>
    <w:rsid w:val="006A528D"/>
    <w:rsid w:val="006B0391"/>
    <w:rsid w:val="006B1B03"/>
    <w:rsid w:val="006B1BBB"/>
    <w:rsid w:val="006B64C4"/>
    <w:rsid w:val="006B6715"/>
    <w:rsid w:val="006B7428"/>
    <w:rsid w:val="006C5530"/>
    <w:rsid w:val="006C6C8E"/>
    <w:rsid w:val="006D10EF"/>
    <w:rsid w:val="006D3209"/>
    <w:rsid w:val="006D7078"/>
    <w:rsid w:val="006D7D28"/>
    <w:rsid w:val="006E5B05"/>
    <w:rsid w:val="006E6B13"/>
    <w:rsid w:val="006F14A3"/>
    <w:rsid w:val="006F159B"/>
    <w:rsid w:val="0070006D"/>
    <w:rsid w:val="00701962"/>
    <w:rsid w:val="007021CD"/>
    <w:rsid w:val="00706AB7"/>
    <w:rsid w:val="00716959"/>
    <w:rsid w:val="0071788E"/>
    <w:rsid w:val="00720E4A"/>
    <w:rsid w:val="00722AFA"/>
    <w:rsid w:val="00725DFF"/>
    <w:rsid w:val="0073518B"/>
    <w:rsid w:val="00737A10"/>
    <w:rsid w:val="0074024E"/>
    <w:rsid w:val="00740910"/>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817A1"/>
    <w:rsid w:val="007824AD"/>
    <w:rsid w:val="00782D77"/>
    <w:rsid w:val="00783E6E"/>
    <w:rsid w:val="00784FF1"/>
    <w:rsid w:val="00790109"/>
    <w:rsid w:val="00790709"/>
    <w:rsid w:val="00790738"/>
    <w:rsid w:val="007A1752"/>
    <w:rsid w:val="007A2C7C"/>
    <w:rsid w:val="007A2EEF"/>
    <w:rsid w:val="007A5733"/>
    <w:rsid w:val="007A5943"/>
    <w:rsid w:val="007A7B0B"/>
    <w:rsid w:val="007B0324"/>
    <w:rsid w:val="007B0628"/>
    <w:rsid w:val="007B1096"/>
    <w:rsid w:val="007B2520"/>
    <w:rsid w:val="007B3AA0"/>
    <w:rsid w:val="007B3DEB"/>
    <w:rsid w:val="007B4FE7"/>
    <w:rsid w:val="007B6EEB"/>
    <w:rsid w:val="007B72D4"/>
    <w:rsid w:val="007B7D2A"/>
    <w:rsid w:val="007C698A"/>
    <w:rsid w:val="007D1B92"/>
    <w:rsid w:val="007D663A"/>
    <w:rsid w:val="007D7A85"/>
    <w:rsid w:val="007E0603"/>
    <w:rsid w:val="007E0A55"/>
    <w:rsid w:val="007E1EAD"/>
    <w:rsid w:val="007E44FD"/>
    <w:rsid w:val="007E5057"/>
    <w:rsid w:val="007E6FF8"/>
    <w:rsid w:val="007E7D8E"/>
    <w:rsid w:val="007F3972"/>
    <w:rsid w:val="007F61DB"/>
    <w:rsid w:val="00800AB0"/>
    <w:rsid w:val="00802472"/>
    <w:rsid w:val="0081114B"/>
    <w:rsid w:val="008127E1"/>
    <w:rsid w:val="00813BAD"/>
    <w:rsid w:val="00815CB3"/>
    <w:rsid w:val="00822FD9"/>
    <w:rsid w:val="00824701"/>
    <w:rsid w:val="00830EB0"/>
    <w:rsid w:val="0083119A"/>
    <w:rsid w:val="008317A5"/>
    <w:rsid w:val="00836750"/>
    <w:rsid w:val="008433BB"/>
    <w:rsid w:val="00847ACF"/>
    <w:rsid w:val="00850549"/>
    <w:rsid w:val="00853B99"/>
    <w:rsid w:val="00861348"/>
    <w:rsid w:val="008624CD"/>
    <w:rsid w:val="0088152F"/>
    <w:rsid w:val="008828D8"/>
    <w:rsid w:val="00884E03"/>
    <w:rsid w:val="00885913"/>
    <w:rsid w:val="0088738D"/>
    <w:rsid w:val="008878E3"/>
    <w:rsid w:val="00892040"/>
    <w:rsid w:val="00895D5A"/>
    <w:rsid w:val="008A3087"/>
    <w:rsid w:val="008A4AA1"/>
    <w:rsid w:val="008A51D5"/>
    <w:rsid w:val="008A559C"/>
    <w:rsid w:val="008A5F76"/>
    <w:rsid w:val="008A6ACD"/>
    <w:rsid w:val="008A6BD8"/>
    <w:rsid w:val="008B4111"/>
    <w:rsid w:val="008B4820"/>
    <w:rsid w:val="008B79BC"/>
    <w:rsid w:val="008C1069"/>
    <w:rsid w:val="008C32CD"/>
    <w:rsid w:val="008C54AE"/>
    <w:rsid w:val="008C6FB9"/>
    <w:rsid w:val="008D2770"/>
    <w:rsid w:val="008E2DCC"/>
    <w:rsid w:val="008E4388"/>
    <w:rsid w:val="008E731C"/>
    <w:rsid w:val="008E7E36"/>
    <w:rsid w:val="008F179C"/>
    <w:rsid w:val="008F1C06"/>
    <w:rsid w:val="008F28C1"/>
    <w:rsid w:val="008F3959"/>
    <w:rsid w:val="008F7B14"/>
    <w:rsid w:val="00902B38"/>
    <w:rsid w:val="0090616B"/>
    <w:rsid w:val="00911219"/>
    <w:rsid w:val="00913BDA"/>
    <w:rsid w:val="00914796"/>
    <w:rsid w:val="00914BC8"/>
    <w:rsid w:val="00915E60"/>
    <w:rsid w:val="00923DFD"/>
    <w:rsid w:val="00927143"/>
    <w:rsid w:val="009365B8"/>
    <w:rsid w:val="009401CD"/>
    <w:rsid w:val="009431DB"/>
    <w:rsid w:val="00944494"/>
    <w:rsid w:val="00952818"/>
    <w:rsid w:val="00952E48"/>
    <w:rsid w:val="00957C7D"/>
    <w:rsid w:val="00961CD5"/>
    <w:rsid w:val="0096229E"/>
    <w:rsid w:val="0096394C"/>
    <w:rsid w:val="00967EB0"/>
    <w:rsid w:val="009708E5"/>
    <w:rsid w:val="00972881"/>
    <w:rsid w:val="00980756"/>
    <w:rsid w:val="00981F5E"/>
    <w:rsid w:val="0098612D"/>
    <w:rsid w:val="0099127D"/>
    <w:rsid w:val="00991709"/>
    <w:rsid w:val="00993CEA"/>
    <w:rsid w:val="009A04D3"/>
    <w:rsid w:val="009A104E"/>
    <w:rsid w:val="009A1912"/>
    <w:rsid w:val="009A3967"/>
    <w:rsid w:val="009A3DAF"/>
    <w:rsid w:val="009B2618"/>
    <w:rsid w:val="009B33F9"/>
    <w:rsid w:val="009B68D8"/>
    <w:rsid w:val="009C0D76"/>
    <w:rsid w:val="009C144D"/>
    <w:rsid w:val="009C20F3"/>
    <w:rsid w:val="009C220D"/>
    <w:rsid w:val="009C39C6"/>
    <w:rsid w:val="009D26C3"/>
    <w:rsid w:val="009D4308"/>
    <w:rsid w:val="009D434D"/>
    <w:rsid w:val="009D4D86"/>
    <w:rsid w:val="009D585F"/>
    <w:rsid w:val="009D59C3"/>
    <w:rsid w:val="009E0ABE"/>
    <w:rsid w:val="009E1885"/>
    <w:rsid w:val="009E1B7C"/>
    <w:rsid w:val="009E47B9"/>
    <w:rsid w:val="009E7085"/>
    <w:rsid w:val="009E718E"/>
    <w:rsid w:val="009F195B"/>
    <w:rsid w:val="009F1995"/>
    <w:rsid w:val="009F2C5C"/>
    <w:rsid w:val="009F3F5A"/>
    <w:rsid w:val="009F47D2"/>
    <w:rsid w:val="009F5BE4"/>
    <w:rsid w:val="009F71A5"/>
    <w:rsid w:val="009F7A9A"/>
    <w:rsid w:val="00A07187"/>
    <w:rsid w:val="00A109EC"/>
    <w:rsid w:val="00A13446"/>
    <w:rsid w:val="00A14320"/>
    <w:rsid w:val="00A16C88"/>
    <w:rsid w:val="00A16DB3"/>
    <w:rsid w:val="00A1773B"/>
    <w:rsid w:val="00A17D18"/>
    <w:rsid w:val="00A20B8E"/>
    <w:rsid w:val="00A2153E"/>
    <w:rsid w:val="00A23314"/>
    <w:rsid w:val="00A2403B"/>
    <w:rsid w:val="00A24445"/>
    <w:rsid w:val="00A30F2C"/>
    <w:rsid w:val="00A3267E"/>
    <w:rsid w:val="00A32795"/>
    <w:rsid w:val="00A33077"/>
    <w:rsid w:val="00A35E9C"/>
    <w:rsid w:val="00A40C8D"/>
    <w:rsid w:val="00A41BC3"/>
    <w:rsid w:val="00A45D5F"/>
    <w:rsid w:val="00A4658A"/>
    <w:rsid w:val="00A46BDE"/>
    <w:rsid w:val="00A501ED"/>
    <w:rsid w:val="00A5139C"/>
    <w:rsid w:val="00A5144F"/>
    <w:rsid w:val="00A534FD"/>
    <w:rsid w:val="00A54522"/>
    <w:rsid w:val="00A554C8"/>
    <w:rsid w:val="00A55CE7"/>
    <w:rsid w:val="00A55FB4"/>
    <w:rsid w:val="00A6277C"/>
    <w:rsid w:val="00A62C62"/>
    <w:rsid w:val="00A65906"/>
    <w:rsid w:val="00A675C0"/>
    <w:rsid w:val="00A71F73"/>
    <w:rsid w:val="00A730D8"/>
    <w:rsid w:val="00A8200F"/>
    <w:rsid w:val="00A86D9E"/>
    <w:rsid w:val="00A96510"/>
    <w:rsid w:val="00AA1828"/>
    <w:rsid w:val="00AB09E7"/>
    <w:rsid w:val="00AB4673"/>
    <w:rsid w:val="00AB4A29"/>
    <w:rsid w:val="00AB5056"/>
    <w:rsid w:val="00AB76C9"/>
    <w:rsid w:val="00AC0DAC"/>
    <w:rsid w:val="00AC4EC4"/>
    <w:rsid w:val="00AC5188"/>
    <w:rsid w:val="00AC5B79"/>
    <w:rsid w:val="00AC77EF"/>
    <w:rsid w:val="00AD0111"/>
    <w:rsid w:val="00AD2F59"/>
    <w:rsid w:val="00AD42CB"/>
    <w:rsid w:val="00AD5342"/>
    <w:rsid w:val="00AE5E17"/>
    <w:rsid w:val="00AE67ED"/>
    <w:rsid w:val="00AF303A"/>
    <w:rsid w:val="00AF42B8"/>
    <w:rsid w:val="00AF6A90"/>
    <w:rsid w:val="00B010C0"/>
    <w:rsid w:val="00B01369"/>
    <w:rsid w:val="00B027C9"/>
    <w:rsid w:val="00B03F64"/>
    <w:rsid w:val="00B06254"/>
    <w:rsid w:val="00B076BA"/>
    <w:rsid w:val="00B10455"/>
    <w:rsid w:val="00B152C7"/>
    <w:rsid w:val="00B164DF"/>
    <w:rsid w:val="00B20F3A"/>
    <w:rsid w:val="00B2198F"/>
    <w:rsid w:val="00B2675D"/>
    <w:rsid w:val="00B26B96"/>
    <w:rsid w:val="00B27027"/>
    <w:rsid w:val="00B27B4F"/>
    <w:rsid w:val="00B3123C"/>
    <w:rsid w:val="00B362DC"/>
    <w:rsid w:val="00B37734"/>
    <w:rsid w:val="00B40ABB"/>
    <w:rsid w:val="00B425C9"/>
    <w:rsid w:val="00B43AC8"/>
    <w:rsid w:val="00B45F25"/>
    <w:rsid w:val="00B476A3"/>
    <w:rsid w:val="00B50B8C"/>
    <w:rsid w:val="00B52756"/>
    <w:rsid w:val="00B52C94"/>
    <w:rsid w:val="00B55997"/>
    <w:rsid w:val="00B602F5"/>
    <w:rsid w:val="00B61D0C"/>
    <w:rsid w:val="00B632E8"/>
    <w:rsid w:val="00B67B27"/>
    <w:rsid w:val="00B67D14"/>
    <w:rsid w:val="00B67E82"/>
    <w:rsid w:val="00B80122"/>
    <w:rsid w:val="00B85B42"/>
    <w:rsid w:val="00B86A1D"/>
    <w:rsid w:val="00B872CD"/>
    <w:rsid w:val="00B90553"/>
    <w:rsid w:val="00B92C4C"/>
    <w:rsid w:val="00B93351"/>
    <w:rsid w:val="00B9442C"/>
    <w:rsid w:val="00B94EBE"/>
    <w:rsid w:val="00B9787B"/>
    <w:rsid w:val="00B97A78"/>
    <w:rsid w:val="00BA23CA"/>
    <w:rsid w:val="00BA4A5B"/>
    <w:rsid w:val="00BA572A"/>
    <w:rsid w:val="00BB2068"/>
    <w:rsid w:val="00BB3AFB"/>
    <w:rsid w:val="00BB5371"/>
    <w:rsid w:val="00BB7D4D"/>
    <w:rsid w:val="00BC1DBB"/>
    <w:rsid w:val="00BC352B"/>
    <w:rsid w:val="00BC42DE"/>
    <w:rsid w:val="00BC4801"/>
    <w:rsid w:val="00BC491F"/>
    <w:rsid w:val="00BC5A97"/>
    <w:rsid w:val="00BC6719"/>
    <w:rsid w:val="00BD2844"/>
    <w:rsid w:val="00BD790B"/>
    <w:rsid w:val="00BE0E09"/>
    <w:rsid w:val="00BE26C8"/>
    <w:rsid w:val="00BE29FF"/>
    <w:rsid w:val="00BE5B35"/>
    <w:rsid w:val="00BE7FEC"/>
    <w:rsid w:val="00BF117A"/>
    <w:rsid w:val="00BF67A4"/>
    <w:rsid w:val="00C02FEE"/>
    <w:rsid w:val="00C07ECE"/>
    <w:rsid w:val="00C14544"/>
    <w:rsid w:val="00C145E0"/>
    <w:rsid w:val="00C21782"/>
    <w:rsid w:val="00C23FDE"/>
    <w:rsid w:val="00C25495"/>
    <w:rsid w:val="00C25C90"/>
    <w:rsid w:val="00C2663F"/>
    <w:rsid w:val="00C27541"/>
    <w:rsid w:val="00C30199"/>
    <w:rsid w:val="00C333F0"/>
    <w:rsid w:val="00C33685"/>
    <w:rsid w:val="00C37195"/>
    <w:rsid w:val="00C4203C"/>
    <w:rsid w:val="00C44828"/>
    <w:rsid w:val="00C51357"/>
    <w:rsid w:val="00C5246D"/>
    <w:rsid w:val="00C559F5"/>
    <w:rsid w:val="00C57B81"/>
    <w:rsid w:val="00C6024D"/>
    <w:rsid w:val="00C61786"/>
    <w:rsid w:val="00C6213F"/>
    <w:rsid w:val="00C62C05"/>
    <w:rsid w:val="00C62E67"/>
    <w:rsid w:val="00C630F4"/>
    <w:rsid w:val="00C651B9"/>
    <w:rsid w:val="00C66984"/>
    <w:rsid w:val="00C75725"/>
    <w:rsid w:val="00C77960"/>
    <w:rsid w:val="00C77D6E"/>
    <w:rsid w:val="00C80FD8"/>
    <w:rsid w:val="00C84B45"/>
    <w:rsid w:val="00C85EBB"/>
    <w:rsid w:val="00C90998"/>
    <w:rsid w:val="00C9219E"/>
    <w:rsid w:val="00C9299B"/>
    <w:rsid w:val="00C95987"/>
    <w:rsid w:val="00CA5FB4"/>
    <w:rsid w:val="00CA7173"/>
    <w:rsid w:val="00CB1898"/>
    <w:rsid w:val="00CB1DB9"/>
    <w:rsid w:val="00CB7ED3"/>
    <w:rsid w:val="00CC42BA"/>
    <w:rsid w:val="00CC65FE"/>
    <w:rsid w:val="00CC77DE"/>
    <w:rsid w:val="00CD2AF3"/>
    <w:rsid w:val="00CD58FA"/>
    <w:rsid w:val="00CE39D3"/>
    <w:rsid w:val="00CF41FF"/>
    <w:rsid w:val="00CF4B21"/>
    <w:rsid w:val="00CF5FB8"/>
    <w:rsid w:val="00D00CF8"/>
    <w:rsid w:val="00D024F3"/>
    <w:rsid w:val="00D061EC"/>
    <w:rsid w:val="00D06A84"/>
    <w:rsid w:val="00D070C4"/>
    <w:rsid w:val="00D117B3"/>
    <w:rsid w:val="00D12F9A"/>
    <w:rsid w:val="00D13D47"/>
    <w:rsid w:val="00D17CBA"/>
    <w:rsid w:val="00D21301"/>
    <w:rsid w:val="00D222D3"/>
    <w:rsid w:val="00D239FA"/>
    <w:rsid w:val="00D23ABA"/>
    <w:rsid w:val="00D23B2F"/>
    <w:rsid w:val="00D30672"/>
    <w:rsid w:val="00D31E87"/>
    <w:rsid w:val="00D32570"/>
    <w:rsid w:val="00D42C10"/>
    <w:rsid w:val="00D43101"/>
    <w:rsid w:val="00D456FB"/>
    <w:rsid w:val="00D5002E"/>
    <w:rsid w:val="00D5288F"/>
    <w:rsid w:val="00D61B2B"/>
    <w:rsid w:val="00D62014"/>
    <w:rsid w:val="00D62F12"/>
    <w:rsid w:val="00D64BC5"/>
    <w:rsid w:val="00D70067"/>
    <w:rsid w:val="00D72432"/>
    <w:rsid w:val="00D81C19"/>
    <w:rsid w:val="00D82637"/>
    <w:rsid w:val="00D82779"/>
    <w:rsid w:val="00D82F54"/>
    <w:rsid w:val="00D85E80"/>
    <w:rsid w:val="00D866DD"/>
    <w:rsid w:val="00D96A53"/>
    <w:rsid w:val="00D97A6E"/>
    <w:rsid w:val="00DA076B"/>
    <w:rsid w:val="00DA0DC7"/>
    <w:rsid w:val="00DA4A1A"/>
    <w:rsid w:val="00DA70EA"/>
    <w:rsid w:val="00DB29D5"/>
    <w:rsid w:val="00DB2C3D"/>
    <w:rsid w:val="00DC0ED4"/>
    <w:rsid w:val="00DC29E3"/>
    <w:rsid w:val="00DC30C3"/>
    <w:rsid w:val="00DC337A"/>
    <w:rsid w:val="00DC4356"/>
    <w:rsid w:val="00DC658D"/>
    <w:rsid w:val="00DC71FE"/>
    <w:rsid w:val="00DD1AAF"/>
    <w:rsid w:val="00DD1BF2"/>
    <w:rsid w:val="00DD5143"/>
    <w:rsid w:val="00DE4F13"/>
    <w:rsid w:val="00DF0987"/>
    <w:rsid w:val="00DF1400"/>
    <w:rsid w:val="00DF1E58"/>
    <w:rsid w:val="00DF20BC"/>
    <w:rsid w:val="00DF6A94"/>
    <w:rsid w:val="00E01359"/>
    <w:rsid w:val="00E03093"/>
    <w:rsid w:val="00E07431"/>
    <w:rsid w:val="00E07EC6"/>
    <w:rsid w:val="00E101E7"/>
    <w:rsid w:val="00E131C5"/>
    <w:rsid w:val="00E20570"/>
    <w:rsid w:val="00E22349"/>
    <w:rsid w:val="00E27901"/>
    <w:rsid w:val="00E30506"/>
    <w:rsid w:val="00E356A3"/>
    <w:rsid w:val="00E36C38"/>
    <w:rsid w:val="00E40217"/>
    <w:rsid w:val="00E404E3"/>
    <w:rsid w:val="00E43E1B"/>
    <w:rsid w:val="00E45294"/>
    <w:rsid w:val="00E4622B"/>
    <w:rsid w:val="00E5154F"/>
    <w:rsid w:val="00E52784"/>
    <w:rsid w:val="00E53B7E"/>
    <w:rsid w:val="00E541C3"/>
    <w:rsid w:val="00E55E46"/>
    <w:rsid w:val="00E57970"/>
    <w:rsid w:val="00E6586E"/>
    <w:rsid w:val="00E67BF7"/>
    <w:rsid w:val="00E71003"/>
    <w:rsid w:val="00E71463"/>
    <w:rsid w:val="00E7193C"/>
    <w:rsid w:val="00E71CEB"/>
    <w:rsid w:val="00E72283"/>
    <w:rsid w:val="00E72CAA"/>
    <w:rsid w:val="00E73686"/>
    <w:rsid w:val="00E74CD5"/>
    <w:rsid w:val="00E75519"/>
    <w:rsid w:val="00E763C8"/>
    <w:rsid w:val="00E77790"/>
    <w:rsid w:val="00E7791A"/>
    <w:rsid w:val="00E77BB0"/>
    <w:rsid w:val="00E80B9D"/>
    <w:rsid w:val="00E819C6"/>
    <w:rsid w:val="00E826CC"/>
    <w:rsid w:val="00E83A36"/>
    <w:rsid w:val="00E83D62"/>
    <w:rsid w:val="00E8622A"/>
    <w:rsid w:val="00E8699D"/>
    <w:rsid w:val="00E87E00"/>
    <w:rsid w:val="00E87E4B"/>
    <w:rsid w:val="00E914B0"/>
    <w:rsid w:val="00E919F0"/>
    <w:rsid w:val="00E92D70"/>
    <w:rsid w:val="00E97E08"/>
    <w:rsid w:val="00EA2925"/>
    <w:rsid w:val="00EA4465"/>
    <w:rsid w:val="00EA6C54"/>
    <w:rsid w:val="00EB0A18"/>
    <w:rsid w:val="00EB1051"/>
    <w:rsid w:val="00EB2934"/>
    <w:rsid w:val="00EB3E71"/>
    <w:rsid w:val="00EB4BC5"/>
    <w:rsid w:val="00EB56F2"/>
    <w:rsid w:val="00EB5BB3"/>
    <w:rsid w:val="00EB6E6C"/>
    <w:rsid w:val="00EC0D5D"/>
    <w:rsid w:val="00EC375E"/>
    <w:rsid w:val="00EC3CE6"/>
    <w:rsid w:val="00EC56DD"/>
    <w:rsid w:val="00ED09FF"/>
    <w:rsid w:val="00ED1B22"/>
    <w:rsid w:val="00ED233A"/>
    <w:rsid w:val="00ED2B2A"/>
    <w:rsid w:val="00ED424D"/>
    <w:rsid w:val="00ED4F58"/>
    <w:rsid w:val="00ED575A"/>
    <w:rsid w:val="00EF2630"/>
    <w:rsid w:val="00EF31A6"/>
    <w:rsid w:val="00EF461E"/>
    <w:rsid w:val="00EF4C6A"/>
    <w:rsid w:val="00F01340"/>
    <w:rsid w:val="00F01D5B"/>
    <w:rsid w:val="00F13FA5"/>
    <w:rsid w:val="00F14795"/>
    <w:rsid w:val="00F166F4"/>
    <w:rsid w:val="00F16711"/>
    <w:rsid w:val="00F17D91"/>
    <w:rsid w:val="00F22431"/>
    <w:rsid w:val="00F22F40"/>
    <w:rsid w:val="00F23D65"/>
    <w:rsid w:val="00F24FB7"/>
    <w:rsid w:val="00F27339"/>
    <w:rsid w:val="00F27AA6"/>
    <w:rsid w:val="00F30BA5"/>
    <w:rsid w:val="00F32D76"/>
    <w:rsid w:val="00F34F0E"/>
    <w:rsid w:val="00F37B5B"/>
    <w:rsid w:val="00F41A87"/>
    <w:rsid w:val="00F43AC7"/>
    <w:rsid w:val="00F4663F"/>
    <w:rsid w:val="00F50044"/>
    <w:rsid w:val="00F516D8"/>
    <w:rsid w:val="00F57A56"/>
    <w:rsid w:val="00F61B38"/>
    <w:rsid w:val="00F633F0"/>
    <w:rsid w:val="00F70E1C"/>
    <w:rsid w:val="00F74B11"/>
    <w:rsid w:val="00F81FDD"/>
    <w:rsid w:val="00F84C9A"/>
    <w:rsid w:val="00F85B9A"/>
    <w:rsid w:val="00F862EA"/>
    <w:rsid w:val="00F9238F"/>
    <w:rsid w:val="00F95509"/>
    <w:rsid w:val="00F9565C"/>
    <w:rsid w:val="00FA044A"/>
    <w:rsid w:val="00FA09FD"/>
    <w:rsid w:val="00FA0C5F"/>
    <w:rsid w:val="00FA1372"/>
    <w:rsid w:val="00FA3C29"/>
    <w:rsid w:val="00FA565C"/>
    <w:rsid w:val="00FA570E"/>
    <w:rsid w:val="00FA5A48"/>
    <w:rsid w:val="00FA69E3"/>
    <w:rsid w:val="00FB228E"/>
    <w:rsid w:val="00FB2EA5"/>
    <w:rsid w:val="00FC11FE"/>
    <w:rsid w:val="00FC1C6C"/>
    <w:rsid w:val="00FC2ABC"/>
    <w:rsid w:val="00FC2D0F"/>
    <w:rsid w:val="00FC4498"/>
    <w:rsid w:val="00FC6CB9"/>
    <w:rsid w:val="00FC786F"/>
    <w:rsid w:val="00FD11EF"/>
    <w:rsid w:val="00FD3152"/>
    <w:rsid w:val="00FD4C30"/>
    <w:rsid w:val="00FD69E4"/>
    <w:rsid w:val="00FE5149"/>
    <w:rsid w:val="00FE7DF2"/>
    <w:rsid w:val="00FF0C6B"/>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4067140">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891427920">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995842095">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083258004">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299526845">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13274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sporti@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84</TotalTime>
  <Pages>2</Pages>
  <Words>598</Words>
  <Characters>3413</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Maria Cappellazzo</dc:creator>
  <cp:lastModifiedBy>hp</cp:lastModifiedBy>
  <cp:revision>17</cp:revision>
  <cp:lastPrinted>2019-12-30T11:26:00Z</cp:lastPrinted>
  <dcterms:created xsi:type="dcterms:W3CDTF">2020-03-04T16:17:00Z</dcterms:created>
  <dcterms:modified xsi:type="dcterms:W3CDTF">2020-03-24T08:38:00Z</dcterms:modified>
</cp:coreProperties>
</file>