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4A4F" w14:textId="6C61002C" w:rsidR="00423098" w:rsidRPr="00423098" w:rsidRDefault="001C1F88" w:rsidP="00423098">
      <w:pPr>
        <w:ind w:right="142"/>
        <w:jc w:val="both"/>
        <w:rPr>
          <w:rFonts w:ascii="Calibri" w:hAnsi="Calibri"/>
          <w:b/>
          <w:bCs/>
          <w:sz w:val="22"/>
          <w:szCs w:val="22"/>
        </w:rPr>
      </w:pPr>
      <w:r w:rsidRPr="00E4410B">
        <w:rPr>
          <w:rFonts w:ascii="Calibri" w:hAnsi="Calibri"/>
          <w:b/>
          <w:bCs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E4410B" w:rsidRPr="001C1F88">
        <w:rPr>
          <w:rFonts w:ascii="Calibri" w:eastAsia="Calibri" w:hAnsi="Calibri"/>
          <w:b/>
          <w:sz w:val="22"/>
          <w:szCs w:val="22"/>
          <w:lang w:eastAsia="en-US"/>
        </w:rPr>
        <w:t>Emergenza COVID-19.</w:t>
      </w:r>
      <w:r w:rsidR="00E4410B" w:rsidRPr="001C1F88">
        <w:rPr>
          <w:rFonts w:ascii="Calibri" w:eastAsia="Calibri" w:hAnsi="Calibri"/>
          <w:b/>
          <w:szCs w:val="22"/>
          <w:lang w:eastAsia="en-US"/>
        </w:rPr>
        <w:t xml:space="preserve"> </w:t>
      </w:r>
      <w:r w:rsidR="00E4410B" w:rsidRPr="00E4410B">
        <w:rPr>
          <w:rFonts w:ascii="Calibri" w:hAnsi="Calibri"/>
          <w:b/>
          <w:bCs/>
          <w:sz w:val="22"/>
          <w:szCs w:val="22"/>
        </w:rPr>
        <w:t>Direttiva Commissario per zone sisma 2016</w:t>
      </w:r>
    </w:p>
    <w:p w14:paraId="54C01461" w14:textId="61B26415" w:rsidR="00652628" w:rsidRPr="00470380" w:rsidRDefault="00652628" w:rsidP="00652628">
      <w:pPr>
        <w:ind w:right="142"/>
        <w:jc w:val="both"/>
        <w:rPr>
          <w:rFonts w:ascii="Calibri" w:hAnsi="Calibri"/>
          <w:b/>
          <w:bCs/>
          <w:sz w:val="22"/>
          <w:szCs w:val="22"/>
        </w:rPr>
      </w:pPr>
    </w:p>
    <w:p w14:paraId="727DFBF6" w14:textId="0DABE592" w:rsidR="00423098" w:rsidRPr="00423098" w:rsidRDefault="005D2CA3" w:rsidP="00423098">
      <w:pPr>
        <w:pStyle w:val="Normale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Attuazione delle disposizioni adottate dal Governo</w:t>
      </w:r>
    </w:p>
    <w:p w14:paraId="68353CBC" w14:textId="77777777" w:rsidR="00600B26" w:rsidRPr="00423098" w:rsidRDefault="00600B26" w:rsidP="00652628">
      <w:pPr>
        <w:pStyle w:val="NormaleWeb"/>
        <w:jc w:val="both"/>
        <w:rPr>
          <w:rStyle w:val="Enfasigrassetto"/>
          <w:rFonts w:ascii="Calibri" w:hAnsi="Calibri"/>
          <w:b w:val="0"/>
          <w:bCs w:val="0"/>
          <w:sz w:val="22"/>
          <w:szCs w:val="22"/>
        </w:rPr>
      </w:pPr>
    </w:p>
    <w:p w14:paraId="362B47C3" w14:textId="6CE1FAAB" w:rsidR="00652628" w:rsidRPr="00470380" w:rsidRDefault="00652628" w:rsidP="00652628">
      <w:pPr>
        <w:jc w:val="both"/>
        <w:rPr>
          <w:rFonts w:ascii="Calibri" w:hAnsi="Calibri"/>
          <w:b/>
          <w:sz w:val="22"/>
          <w:szCs w:val="22"/>
        </w:rPr>
      </w:pPr>
    </w:p>
    <w:p w14:paraId="5B6DFA1C" w14:textId="33B96EBB" w:rsidR="00E4410B" w:rsidRPr="00E4410B" w:rsidRDefault="00E4410B" w:rsidP="00E4410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4410B">
        <w:rPr>
          <w:rFonts w:ascii="Calibri" w:eastAsia="Calibri" w:hAnsi="Calibri"/>
          <w:sz w:val="22"/>
          <w:szCs w:val="22"/>
          <w:lang w:eastAsia="en-US"/>
        </w:rPr>
        <w:t>Si trasmette</w:t>
      </w:r>
      <w:r w:rsidR="005D2CA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D2CA3" w:rsidRPr="005D2CA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in </w:t>
      </w:r>
      <w:r w:rsidRPr="005D2CA3">
        <w:rPr>
          <w:rFonts w:ascii="Calibri" w:eastAsia="Calibri" w:hAnsi="Calibri"/>
          <w:b/>
          <w:bCs/>
          <w:sz w:val="22"/>
          <w:szCs w:val="22"/>
          <w:lang w:eastAsia="en-US"/>
        </w:rPr>
        <w:t>allegat</w:t>
      </w:r>
      <w:r w:rsidR="005D2CA3" w:rsidRPr="005D2CA3">
        <w:rPr>
          <w:rFonts w:ascii="Calibri" w:eastAsia="Calibri" w:hAnsi="Calibri"/>
          <w:b/>
          <w:bCs/>
          <w:sz w:val="22"/>
          <w:szCs w:val="22"/>
          <w:lang w:eastAsia="en-US"/>
        </w:rPr>
        <w:t>o</w:t>
      </w:r>
      <w:r w:rsidRPr="00E4410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D2CA3">
        <w:rPr>
          <w:rFonts w:ascii="Calibri" w:eastAsia="Calibri" w:hAnsi="Calibri"/>
          <w:sz w:val="22"/>
          <w:szCs w:val="22"/>
          <w:lang w:eastAsia="en-US"/>
        </w:rPr>
        <w:t xml:space="preserve">la </w:t>
      </w:r>
      <w:r w:rsidRPr="00E4410B">
        <w:rPr>
          <w:rFonts w:ascii="Calibri" w:eastAsia="Calibri" w:hAnsi="Calibri"/>
          <w:sz w:val="22"/>
          <w:szCs w:val="22"/>
          <w:lang w:eastAsia="en-US"/>
        </w:rPr>
        <w:t xml:space="preserve">Direttiva emanata il 20 marzo scorso dal Commissario </w:t>
      </w:r>
      <w:r w:rsidR="005D2CA3">
        <w:rPr>
          <w:rFonts w:ascii="Calibri" w:eastAsia="Calibri" w:hAnsi="Calibri"/>
          <w:sz w:val="22"/>
          <w:szCs w:val="22"/>
          <w:lang w:eastAsia="en-US"/>
        </w:rPr>
        <w:t>s</w:t>
      </w:r>
      <w:r w:rsidRPr="00E4410B">
        <w:rPr>
          <w:rFonts w:ascii="Calibri" w:eastAsia="Calibri" w:hAnsi="Calibri"/>
          <w:sz w:val="22"/>
          <w:szCs w:val="22"/>
          <w:lang w:eastAsia="en-US"/>
        </w:rPr>
        <w:t xml:space="preserve">traordinario alla </w:t>
      </w:r>
      <w:r w:rsidR="005D2CA3">
        <w:rPr>
          <w:rFonts w:ascii="Calibri" w:eastAsia="Calibri" w:hAnsi="Calibri"/>
          <w:sz w:val="22"/>
          <w:szCs w:val="22"/>
          <w:lang w:eastAsia="en-US"/>
        </w:rPr>
        <w:t>r</w:t>
      </w:r>
      <w:r w:rsidRPr="00E4410B">
        <w:rPr>
          <w:rFonts w:ascii="Calibri" w:eastAsia="Calibri" w:hAnsi="Calibri"/>
          <w:sz w:val="22"/>
          <w:szCs w:val="22"/>
          <w:lang w:eastAsia="en-US"/>
        </w:rPr>
        <w:t>icostruzione dei territori colpiti dal sisma del 2016, Giovanni Legnini, in attuazione di quanto previsto dal Governo con il D</w:t>
      </w:r>
      <w:r w:rsidR="005D2CA3">
        <w:rPr>
          <w:rFonts w:ascii="Calibri" w:eastAsia="Calibri" w:hAnsi="Calibri"/>
          <w:sz w:val="22"/>
          <w:szCs w:val="22"/>
          <w:lang w:eastAsia="en-US"/>
        </w:rPr>
        <w:t xml:space="preserve">ecreto </w:t>
      </w:r>
      <w:r w:rsidRPr="00E4410B">
        <w:rPr>
          <w:rFonts w:ascii="Calibri" w:eastAsia="Calibri" w:hAnsi="Calibri"/>
          <w:sz w:val="22"/>
          <w:szCs w:val="22"/>
          <w:lang w:eastAsia="en-US"/>
        </w:rPr>
        <w:t>L</w:t>
      </w:r>
      <w:r w:rsidR="005D2CA3">
        <w:rPr>
          <w:rFonts w:ascii="Calibri" w:eastAsia="Calibri" w:hAnsi="Calibri"/>
          <w:sz w:val="22"/>
          <w:szCs w:val="22"/>
          <w:lang w:eastAsia="en-US"/>
        </w:rPr>
        <w:t>egge</w:t>
      </w:r>
      <w:r w:rsidRPr="00E4410B">
        <w:rPr>
          <w:rFonts w:ascii="Calibri" w:eastAsia="Calibri" w:hAnsi="Calibri"/>
          <w:sz w:val="22"/>
          <w:szCs w:val="22"/>
          <w:lang w:eastAsia="en-US"/>
        </w:rPr>
        <w:t xml:space="preserve"> n. 18/2020 recante </w:t>
      </w:r>
      <w:r w:rsidR="005D2CA3">
        <w:rPr>
          <w:rFonts w:ascii="Calibri" w:eastAsia="Calibri" w:hAnsi="Calibri"/>
          <w:sz w:val="22"/>
          <w:szCs w:val="22"/>
          <w:lang w:eastAsia="en-US"/>
        </w:rPr>
        <w:t>“M</w:t>
      </w:r>
      <w:r w:rsidRPr="00E4410B">
        <w:rPr>
          <w:rFonts w:ascii="Calibri" w:eastAsia="Calibri" w:hAnsi="Calibri"/>
          <w:sz w:val="22"/>
          <w:szCs w:val="22"/>
          <w:lang w:eastAsia="en-US"/>
        </w:rPr>
        <w:t>isure di potenziamento del servizio sanitario nazionale e di sostegno economico per famiglie, lavoratori e imprese connesse all'emergenza epidemiologica da COVID-19” e dal “Protocollo condiviso di regolamentazione per il contenimento della diffusione del COVID-19 nei cantieri”</w:t>
      </w:r>
      <w:r w:rsidR="005D2CA3">
        <w:rPr>
          <w:rFonts w:ascii="Calibri" w:eastAsia="Calibri" w:hAnsi="Calibri"/>
          <w:sz w:val="22"/>
          <w:szCs w:val="22"/>
          <w:lang w:eastAsia="en-US"/>
        </w:rPr>
        <w:t>,</w:t>
      </w:r>
      <w:r w:rsidRPr="00E4410B">
        <w:rPr>
          <w:rFonts w:ascii="Calibri" w:eastAsia="Calibri" w:hAnsi="Calibri"/>
          <w:sz w:val="22"/>
          <w:szCs w:val="22"/>
          <w:lang w:eastAsia="en-US"/>
        </w:rPr>
        <w:t xml:space="preserve"> adottato dal Ministro delle Infrastrutture e dei Trasporti lo scorso 19 marzo 2020.</w:t>
      </w:r>
    </w:p>
    <w:p w14:paraId="2520DD6A" w14:textId="77777777" w:rsidR="00E4410B" w:rsidRPr="00E4410B" w:rsidRDefault="00E4410B" w:rsidP="00E4410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8DAEBCB" w14:textId="402DDA62" w:rsidR="00E4410B" w:rsidRPr="00E4410B" w:rsidRDefault="00E4410B" w:rsidP="00E4410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4410B">
        <w:rPr>
          <w:rFonts w:ascii="Calibri" w:eastAsia="Calibri" w:hAnsi="Calibri"/>
          <w:sz w:val="22"/>
          <w:szCs w:val="22"/>
          <w:lang w:eastAsia="en-US"/>
        </w:rPr>
        <w:t xml:space="preserve">Le linee generali contenute nella </w:t>
      </w:r>
      <w:r w:rsidR="005D2CA3">
        <w:rPr>
          <w:rFonts w:ascii="Calibri" w:eastAsia="Calibri" w:hAnsi="Calibri"/>
          <w:sz w:val="22"/>
          <w:szCs w:val="22"/>
          <w:lang w:eastAsia="en-US"/>
        </w:rPr>
        <w:t>D</w:t>
      </w:r>
      <w:r w:rsidRPr="00E4410B">
        <w:rPr>
          <w:rFonts w:ascii="Calibri" w:eastAsia="Calibri" w:hAnsi="Calibri"/>
          <w:sz w:val="22"/>
          <w:szCs w:val="22"/>
          <w:lang w:eastAsia="en-US"/>
        </w:rPr>
        <w:t>irettiva sono state condivise con la Struttura di Missione per il coordinamento dei processi di ricostruzione e sviluppo dei territori colpiti dal sisma del 6 aprile 2009 dell'area del cratere aquilano.</w:t>
      </w:r>
    </w:p>
    <w:p w14:paraId="345A6536" w14:textId="77777777" w:rsidR="00652628" w:rsidRPr="00470380" w:rsidRDefault="00652628" w:rsidP="00652628">
      <w:pPr>
        <w:jc w:val="both"/>
        <w:rPr>
          <w:rFonts w:ascii="Calibri" w:hAnsi="Calibri"/>
          <w:b/>
          <w:sz w:val="22"/>
          <w:szCs w:val="22"/>
        </w:rPr>
      </w:pPr>
    </w:p>
    <w:p w14:paraId="5D591B4C" w14:textId="77777777" w:rsidR="00CF2B9F" w:rsidRPr="00470380" w:rsidRDefault="00CF2B9F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15DD6785" w14:textId="69D91988" w:rsidR="00F33005" w:rsidRPr="00470380" w:rsidRDefault="00F33005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48B55A6F" w14:textId="65D8B035" w:rsidR="00F33005" w:rsidRPr="00470380" w:rsidRDefault="00F33005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44ECC7E8" w14:textId="4ABDE347" w:rsidR="00652628" w:rsidRPr="00470380" w:rsidRDefault="00652628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71C4E605" w14:textId="77777777" w:rsidR="00652628" w:rsidRPr="00470380" w:rsidRDefault="00652628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bookmarkStart w:id="0" w:name="_GoBack"/>
      <w:bookmarkEnd w:id="0"/>
    </w:p>
    <w:p w14:paraId="559C0EBE" w14:textId="77777777" w:rsidR="006411DF" w:rsidRPr="00470380" w:rsidRDefault="006411DF" w:rsidP="00D27A1C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470380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 xml:space="preserve">Perugia – </w:t>
      </w:r>
      <w:hyperlink r:id="rId7" w:history="1">
        <w:r w:rsidRPr="00470380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470380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 xml:space="preserve">Terni - </w:t>
      </w:r>
      <w:hyperlink r:id="rId8" w:history="1">
        <w:r w:rsidRPr="00470380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470380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7777777" w:rsidR="005A6420" w:rsidRPr="00470380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470380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470380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470380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470380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0123876C" w:rsidR="00783E6E" w:rsidRPr="00470380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470380">
        <w:rPr>
          <w:rFonts w:ascii="Calibri" w:hAnsi="Calibri" w:cs="Calibri"/>
          <w:sz w:val="22"/>
          <w:szCs w:val="22"/>
        </w:rPr>
        <w:t xml:space="preserve">Pubblicato il </w:t>
      </w:r>
      <w:r w:rsidR="00652628" w:rsidRPr="00470380">
        <w:rPr>
          <w:rFonts w:ascii="Calibri" w:hAnsi="Calibri" w:cs="Calibri"/>
          <w:sz w:val="22"/>
          <w:szCs w:val="22"/>
        </w:rPr>
        <w:t>2</w:t>
      </w:r>
      <w:r w:rsidR="00BF2A82">
        <w:rPr>
          <w:rFonts w:ascii="Calibri" w:hAnsi="Calibri" w:cs="Calibri"/>
          <w:sz w:val="22"/>
          <w:szCs w:val="22"/>
        </w:rPr>
        <w:t>4</w:t>
      </w:r>
      <w:r w:rsidR="00010B0E" w:rsidRPr="00470380">
        <w:rPr>
          <w:rFonts w:ascii="Calibri" w:hAnsi="Calibri" w:cs="Calibri"/>
          <w:sz w:val="22"/>
          <w:szCs w:val="22"/>
        </w:rPr>
        <w:t>/03</w:t>
      </w:r>
      <w:r w:rsidR="00297F87" w:rsidRPr="00470380">
        <w:rPr>
          <w:rFonts w:ascii="Calibri" w:hAnsi="Calibri" w:cs="Calibri"/>
          <w:sz w:val="22"/>
          <w:szCs w:val="22"/>
        </w:rPr>
        <w:t>/2020</w:t>
      </w:r>
    </w:p>
    <w:sectPr w:rsidR="00783E6E" w:rsidRPr="00470380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4BF82" w14:textId="77777777" w:rsidR="001C1F88" w:rsidRDefault="001C1F88">
      <w:r>
        <w:separator/>
      </w:r>
    </w:p>
  </w:endnote>
  <w:endnote w:type="continuationSeparator" w:id="0">
    <w:p w14:paraId="44915915" w14:textId="77777777" w:rsidR="001C1F88" w:rsidRDefault="001C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51FFE" w14:textId="77777777" w:rsidR="001C1F88" w:rsidRDefault="001C1F88">
      <w:r>
        <w:separator/>
      </w:r>
    </w:p>
  </w:footnote>
  <w:footnote w:type="continuationSeparator" w:id="0">
    <w:p w14:paraId="62271C9C" w14:textId="77777777" w:rsidR="001C1F88" w:rsidRDefault="001C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1C1F88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.6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20"/>
  </w:num>
  <w:num w:numId="9">
    <w:abstractNumId w:val="23"/>
  </w:num>
  <w:num w:numId="10">
    <w:abstractNumId w:val="19"/>
  </w:num>
  <w:num w:numId="11">
    <w:abstractNumId w:val="10"/>
  </w:num>
  <w:num w:numId="12">
    <w:abstractNumId w:val="18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21"/>
  </w:num>
  <w:num w:numId="20">
    <w:abstractNumId w:val="15"/>
  </w:num>
  <w:num w:numId="21">
    <w:abstractNumId w:val="5"/>
  </w:num>
  <w:num w:numId="22">
    <w:abstractNumId w:val="22"/>
  </w:num>
  <w:num w:numId="23">
    <w:abstractNumId w:val="11"/>
  </w:num>
  <w:num w:numId="2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C5428"/>
    <w:rsid w:val="000D0123"/>
    <w:rsid w:val="000D36C6"/>
    <w:rsid w:val="000D4668"/>
    <w:rsid w:val="000D4ADA"/>
    <w:rsid w:val="000E38C9"/>
    <w:rsid w:val="000E6DB1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86B0A"/>
    <w:rsid w:val="001A0EA6"/>
    <w:rsid w:val="001A61DB"/>
    <w:rsid w:val="001B0373"/>
    <w:rsid w:val="001B1366"/>
    <w:rsid w:val="001C016B"/>
    <w:rsid w:val="001C1F88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85BAE"/>
    <w:rsid w:val="003944BF"/>
    <w:rsid w:val="00395392"/>
    <w:rsid w:val="003A759E"/>
    <w:rsid w:val="003B6D95"/>
    <w:rsid w:val="003B7ED2"/>
    <w:rsid w:val="003C19FB"/>
    <w:rsid w:val="003E5874"/>
    <w:rsid w:val="0041047E"/>
    <w:rsid w:val="0041177C"/>
    <w:rsid w:val="0042052A"/>
    <w:rsid w:val="00423098"/>
    <w:rsid w:val="004353E3"/>
    <w:rsid w:val="004414A4"/>
    <w:rsid w:val="004435C3"/>
    <w:rsid w:val="00454209"/>
    <w:rsid w:val="00465747"/>
    <w:rsid w:val="00470380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57801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2CA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70DF"/>
    <w:rsid w:val="006411A6"/>
    <w:rsid w:val="006411DF"/>
    <w:rsid w:val="00652628"/>
    <w:rsid w:val="00654840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68E0"/>
    <w:rsid w:val="007278BF"/>
    <w:rsid w:val="00727E86"/>
    <w:rsid w:val="00730857"/>
    <w:rsid w:val="007336E8"/>
    <w:rsid w:val="00744DE8"/>
    <w:rsid w:val="0075722D"/>
    <w:rsid w:val="00764518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1DC4"/>
    <w:rsid w:val="007E52F6"/>
    <w:rsid w:val="007E7A85"/>
    <w:rsid w:val="007F1200"/>
    <w:rsid w:val="007F7D2A"/>
    <w:rsid w:val="00801AE3"/>
    <w:rsid w:val="0080382C"/>
    <w:rsid w:val="008050CE"/>
    <w:rsid w:val="00814B6A"/>
    <w:rsid w:val="00827AA4"/>
    <w:rsid w:val="0083206A"/>
    <w:rsid w:val="008324D4"/>
    <w:rsid w:val="00842CAC"/>
    <w:rsid w:val="0089242A"/>
    <w:rsid w:val="00895D5A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77CF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421FD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BF2A82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12425"/>
    <w:rsid w:val="00E20570"/>
    <w:rsid w:val="00E209CB"/>
    <w:rsid w:val="00E25D34"/>
    <w:rsid w:val="00E273B4"/>
    <w:rsid w:val="00E31E8B"/>
    <w:rsid w:val="00E36D39"/>
    <w:rsid w:val="00E4410B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  <w:rsid w:val="00FD4772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12ADC02\archivi\010_CONFINDUSTRIA%20UMBRIA\Notiziario\2020\EDILIZIA\info@anceumbria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1407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8</cp:revision>
  <cp:lastPrinted>2019-02-27T17:41:00Z</cp:lastPrinted>
  <dcterms:created xsi:type="dcterms:W3CDTF">2020-03-20T14:32:00Z</dcterms:created>
  <dcterms:modified xsi:type="dcterms:W3CDTF">2020-03-24T16:20:00Z</dcterms:modified>
</cp:coreProperties>
</file>