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3F3C" w14:textId="4F7AC641" w:rsidR="00C24A9A" w:rsidRPr="0096617B" w:rsidRDefault="00262647" w:rsidP="00C24A9A">
      <w:pPr>
        <w:spacing w:after="150"/>
        <w:rPr>
          <w:rFonts w:ascii="Calibri" w:hAnsi="Calibri" w:cs="Calibri"/>
          <w:b/>
          <w:bCs/>
          <w:sz w:val="22"/>
          <w:szCs w:val="22"/>
        </w:rPr>
      </w:pPr>
      <w:r>
        <w:rPr>
          <w:rFonts w:ascii="Calibri" w:hAnsi="Calibri" w:cs="Calibri"/>
          <w:b/>
          <w:bCs/>
          <w:sz w:val="22"/>
          <w:szCs w:val="22"/>
        </w:rPr>
        <w:pict w14:anchorId="036903AB">
          <v:shape id="Segno di sottrazione 5" o:spid="_x0000_s1026" style="position:absolute;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BE3C2A" w:rsidRPr="00BE3C2A">
        <w:rPr>
          <w:rFonts w:ascii="Calibri" w:hAnsi="Calibri" w:cs="Calibri"/>
          <w:b/>
          <w:bCs/>
          <w:sz w:val="22"/>
          <w:szCs w:val="22"/>
        </w:rPr>
        <w:t>Benefici “prima casa”: l’Agenzia delle Entrate nega l’ampliamento con futura demolizione</w:t>
      </w:r>
    </w:p>
    <w:p w14:paraId="35F7442F"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sz w:val="22"/>
          <w:szCs w:val="22"/>
        </w:rPr>
        <w:t>Nota dell’ANCE</w:t>
      </w:r>
    </w:p>
    <w:p w14:paraId="59702E2E" w14:textId="74998D7E" w:rsidR="00812C76" w:rsidRDefault="00812C76" w:rsidP="006D0A9E">
      <w:pPr>
        <w:pStyle w:val="NormaleWeb"/>
        <w:jc w:val="both"/>
        <w:rPr>
          <w:rFonts w:ascii="Calibri" w:hAnsi="Calibri" w:cs="Calibri"/>
          <w:sz w:val="22"/>
          <w:szCs w:val="22"/>
        </w:rPr>
      </w:pPr>
    </w:p>
    <w:p w14:paraId="126CA0ED"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sz w:val="22"/>
          <w:szCs w:val="22"/>
        </w:rPr>
        <w:t xml:space="preserve">L’agevolazione "prima casa" non può essere riconosciuta al proprietario di un’abitazione </w:t>
      </w:r>
      <w:proofErr w:type="spellStart"/>
      <w:r w:rsidRPr="00BE3C2A">
        <w:rPr>
          <w:rFonts w:ascii="Calibri Light" w:hAnsi="Calibri Light" w:cs="Calibri Light"/>
          <w:sz w:val="22"/>
          <w:szCs w:val="22"/>
        </w:rPr>
        <w:t>gia</w:t>
      </w:r>
      <w:proofErr w:type="spellEnd"/>
      <w:r w:rsidRPr="00BE3C2A">
        <w:rPr>
          <w:rFonts w:ascii="Calibri Light" w:hAnsi="Calibri Light" w:cs="Calibri Light"/>
          <w:sz w:val="22"/>
          <w:szCs w:val="22"/>
        </w:rPr>
        <w:t>̀ acquistata con il beneficio, per l’acquisto di un altro appartamento nel medesimo fabbricato, se l’intenzione è quella di demolire e ricostruire l’intero fabbricato per creare una nuova unità immobiliare.</w:t>
      </w:r>
    </w:p>
    <w:p w14:paraId="6C6670E6"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sz w:val="22"/>
          <w:szCs w:val="22"/>
        </w:rPr>
        <w:t xml:space="preserve">La demolizione dell'intero fabbricato per la successiva ricostruzione non è paragonabile ad una fusione, quindi non </w:t>
      </w:r>
      <w:proofErr w:type="spellStart"/>
      <w:r w:rsidRPr="00BE3C2A">
        <w:rPr>
          <w:rFonts w:ascii="Calibri Light" w:hAnsi="Calibri Light" w:cs="Calibri Light"/>
          <w:sz w:val="22"/>
          <w:szCs w:val="22"/>
        </w:rPr>
        <w:t>puo</w:t>
      </w:r>
      <w:proofErr w:type="spellEnd"/>
      <w:r w:rsidRPr="00BE3C2A">
        <w:rPr>
          <w:rFonts w:ascii="Calibri Light" w:hAnsi="Calibri Light" w:cs="Calibri Light"/>
          <w:sz w:val="22"/>
          <w:szCs w:val="22"/>
        </w:rPr>
        <w:t xml:space="preserve">̀ essere assimilata né all’ampliamento della preesistente "prima casa", né all’accorpamento di quest’ultima con altra unità immobiliare. </w:t>
      </w:r>
    </w:p>
    <w:p w14:paraId="3106085D" w14:textId="77777777" w:rsidR="00BE3C2A" w:rsidRPr="00BE3C2A" w:rsidRDefault="00BE3C2A" w:rsidP="00BE3C2A">
      <w:pPr>
        <w:rPr>
          <w:rFonts w:ascii="Calibri Light" w:hAnsi="Calibri Light" w:cs="Calibri Light"/>
          <w:sz w:val="22"/>
          <w:szCs w:val="22"/>
        </w:rPr>
      </w:pPr>
    </w:p>
    <w:p w14:paraId="4F7BA556"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sz w:val="22"/>
          <w:szCs w:val="22"/>
        </w:rPr>
        <w:t xml:space="preserve">Questi sono i chiarimenti esposti dall’Agenzia delle Entrate con la </w:t>
      </w:r>
      <w:r w:rsidRPr="00BE3C2A">
        <w:rPr>
          <w:rFonts w:ascii="Calibri Light" w:hAnsi="Calibri Light" w:cs="Calibri Light"/>
          <w:b/>
          <w:bCs/>
          <w:sz w:val="22"/>
          <w:szCs w:val="22"/>
        </w:rPr>
        <w:t xml:space="preserve">Risposta n.113 del 21 aprile 2020 – allegata - </w:t>
      </w:r>
      <w:r w:rsidRPr="00BE3C2A">
        <w:rPr>
          <w:rFonts w:ascii="Calibri Light" w:hAnsi="Calibri Light" w:cs="Calibri Light"/>
          <w:sz w:val="22"/>
          <w:szCs w:val="22"/>
        </w:rPr>
        <w:t xml:space="preserve">all’interpello di un contribuente che, </w:t>
      </w:r>
      <w:proofErr w:type="spellStart"/>
      <w:r w:rsidRPr="00BE3C2A">
        <w:rPr>
          <w:rFonts w:ascii="Calibri Light" w:hAnsi="Calibri Light" w:cs="Calibri Light"/>
          <w:sz w:val="22"/>
          <w:szCs w:val="22"/>
        </w:rPr>
        <w:t>gia</w:t>
      </w:r>
      <w:proofErr w:type="spellEnd"/>
      <w:r w:rsidRPr="00BE3C2A">
        <w:rPr>
          <w:rFonts w:ascii="Calibri Light" w:hAnsi="Calibri Light" w:cs="Calibri Light"/>
          <w:sz w:val="22"/>
          <w:szCs w:val="22"/>
        </w:rPr>
        <w:t xml:space="preserve">̀ proprietario di un’abitazione acquistata con l’agevolazione “prima casa”, intende comprare, nel medesimo fabbricato, un altro appartamento, sempre fruendo dei benefici, al fine di demolire l’intero fabbricato per poi ricostruire un villino. </w:t>
      </w:r>
    </w:p>
    <w:p w14:paraId="5582AE01" w14:textId="77777777" w:rsidR="00BE3C2A" w:rsidRPr="00BE3C2A" w:rsidRDefault="00BE3C2A" w:rsidP="00BE3C2A">
      <w:pPr>
        <w:rPr>
          <w:rFonts w:ascii="Calibri Light" w:hAnsi="Calibri Light" w:cs="Calibri Light"/>
          <w:sz w:val="22"/>
          <w:szCs w:val="22"/>
        </w:rPr>
      </w:pPr>
    </w:p>
    <w:p w14:paraId="115A4D6F"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sz w:val="22"/>
          <w:szCs w:val="22"/>
        </w:rPr>
        <w:t>L’istante ritiene che, fermo restando il ricorrere di tutte le condizioni richieste dalla norma, l'acquisto della nuova unità immobiliare sia sostanzialmente diretto all'ampliamento della propria “prima casa”, e dunque ammesso, per prassi consolidata, alla fruizione del bonus.</w:t>
      </w:r>
    </w:p>
    <w:p w14:paraId="50595279"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sz w:val="22"/>
          <w:szCs w:val="22"/>
        </w:rPr>
        <w:br/>
        <w:t>Si ricorda che le condizioni di accesso ai benefici “prima casa” (IVA al 4% o registro al 2%) sono disciplinate dall’art.1, nota II-bis della Tariffa, parte prima, allegata al D.P.R. 131/86 [1]</w:t>
      </w:r>
      <w:r w:rsidRPr="00BE3C2A">
        <w:rPr>
          <w:rFonts w:ascii="Calibri Light" w:hAnsi="Calibri Light" w:cs="Calibri Light"/>
          <w:position w:val="12"/>
          <w:sz w:val="22"/>
          <w:szCs w:val="22"/>
        </w:rPr>
        <w:t xml:space="preserve"> </w:t>
      </w:r>
      <w:r w:rsidRPr="00BE3C2A">
        <w:rPr>
          <w:rFonts w:ascii="Calibri Light" w:hAnsi="Calibri Light" w:cs="Calibri Light"/>
          <w:sz w:val="22"/>
          <w:szCs w:val="22"/>
        </w:rPr>
        <w:t xml:space="preserve">e riguardano: </w:t>
      </w:r>
    </w:p>
    <w:p w14:paraId="0DBDB9D0"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sz w:val="22"/>
          <w:szCs w:val="22"/>
        </w:rPr>
        <w:t>•la natura dell’immobile (categoria catastale diversa da A/1, A/8 e A/9);</w:t>
      </w:r>
      <w:r w:rsidRPr="00BE3C2A">
        <w:rPr>
          <w:rFonts w:ascii="Calibri Light" w:hAnsi="Calibri Light" w:cs="Calibri Light"/>
          <w:sz w:val="22"/>
          <w:szCs w:val="22"/>
        </w:rPr>
        <w:br/>
        <w:t>•l’ubicazione dell’abitazione, che deve trovarsi nel Comune in cui l’acquirente ha la propria residenza o la trasferisca entro 18 mesi dall’acquisto;</w:t>
      </w:r>
      <w:r w:rsidRPr="00BE3C2A">
        <w:rPr>
          <w:rFonts w:ascii="Calibri Light" w:hAnsi="Calibri Light" w:cs="Calibri Light"/>
          <w:sz w:val="22"/>
          <w:szCs w:val="22"/>
        </w:rPr>
        <w:br/>
        <w:t xml:space="preserve">•la non </w:t>
      </w:r>
      <w:proofErr w:type="spellStart"/>
      <w:r w:rsidRPr="00BE3C2A">
        <w:rPr>
          <w:rFonts w:ascii="Calibri Light" w:hAnsi="Calibri Light" w:cs="Calibri Light"/>
          <w:sz w:val="22"/>
          <w:szCs w:val="22"/>
        </w:rPr>
        <w:t>titolarita</w:t>
      </w:r>
      <w:proofErr w:type="spellEnd"/>
      <w:r w:rsidRPr="00BE3C2A">
        <w:rPr>
          <w:rFonts w:ascii="Calibri Light" w:hAnsi="Calibri Light" w:cs="Calibri Light"/>
          <w:sz w:val="22"/>
          <w:szCs w:val="22"/>
        </w:rPr>
        <w:t>̀ esclusiva di altra abitazione nel Comune in cui si trova l’immobile da acquistare;</w:t>
      </w:r>
      <w:r w:rsidRPr="00BE3C2A">
        <w:rPr>
          <w:rFonts w:ascii="Calibri Light" w:hAnsi="Calibri Light" w:cs="Calibri Light"/>
          <w:sz w:val="22"/>
          <w:szCs w:val="22"/>
        </w:rPr>
        <w:br/>
        <w:t xml:space="preserve">•la non </w:t>
      </w:r>
      <w:proofErr w:type="spellStart"/>
      <w:r w:rsidRPr="00BE3C2A">
        <w:rPr>
          <w:rFonts w:ascii="Calibri Light" w:hAnsi="Calibri Light" w:cs="Calibri Light"/>
          <w:sz w:val="22"/>
          <w:szCs w:val="22"/>
        </w:rPr>
        <w:t>titolarita</w:t>
      </w:r>
      <w:proofErr w:type="spellEnd"/>
      <w:r w:rsidRPr="00BE3C2A">
        <w:rPr>
          <w:rFonts w:ascii="Calibri Light" w:hAnsi="Calibri Light" w:cs="Calibri Light"/>
          <w:sz w:val="22"/>
          <w:szCs w:val="22"/>
        </w:rPr>
        <w:t>̀, nemmeno per quote, di altra abitazione situata nel territorio dello Stato acquisita con i benefici “prima casa”.</w:t>
      </w:r>
    </w:p>
    <w:p w14:paraId="428E0979"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sz w:val="22"/>
          <w:szCs w:val="22"/>
        </w:rPr>
        <w:br/>
        <w:t xml:space="preserve">Sebbene </w:t>
      </w:r>
      <w:r w:rsidRPr="00BE3C2A">
        <w:rPr>
          <w:rFonts w:ascii="Calibri Light" w:hAnsi="Calibri Light" w:cs="Calibri Light"/>
          <w:b/>
          <w:bCs/>
          <w:sz w:val="22"/>
          <w:szCs w:val="22"/>
        </w:rPr>
        <w:t xml:space="preserve">in passato l’Agenzia delle Entrate </w:t>
      </w:r>
      <w:r w:rsidRPr="00BE3C2A">
        <w:rPr>
          <w:rFonts w:ascii="Calibri Light" w:hAnsi="Calibri Light" w:cs="Calibri Light"/>
          <w:sz w:val="22"/>
          <w:szCs w:val="22"/>
        </w:rPr>
        <w:t xml:space="preserve">abbia </w:t>
      </w:r>
      <w:r w:rsidRPr="00BE3C2A">
        <w:rPr>
          <w:rFonts w:ascii="Calibri Light" w:hAnsi="Calibri Light" w:cs="Calibri Light"/>
          <w:b/>
          <w:bCs/>
          <w:sz w:val="22"/>
          <w:szCs w:val="22"/>
        </w:rPr>
        <w:t xml:space="preserve">ammesso </w:t>
      </w:r>
      <w:r w:rsidRPr="00BE3C2A">
        <w:rPr>
          <w:rFonts w:ascii="Calibri Light" w:hAnsi="Calibri Light" w:cs="Calibri Light"/>
          <w:sz w:val="22"/>
          <w:szCs w:val="22"/>
        </w:rPr>
        <w:t xml:space="preserve">[2] la </w:t>
      </w:r>
      <w:proofErr w:type="spellStart"/>
      <w:r w:rsidRPr="00BE3C2A">
        <w:rPr>
          <w:rFonts w:ascii="Calibri Light" w:hAnsi="Calibri Light" w:cs="Calibri Light"/>
          <w:sz w:val="22"/>
          <w:szCs w:val="22"/>
        </w:rPr>
        <w:t>possibilita</w:t>
      </w:r>
      <w:proofErr w:type="spellEnd"/>
      <w:r w:rsidRPr="00BE3C2A">
        <w:rPr>
          <w:rFonts w:ascii="Calibri Light" w:hAnsi="Calibri Light" w:cs="Calibri Light"/>
          <w:sz w:val="22"/>
          <w:szCs w:val="22"/>
        </w:rPr>
        <w:t>̀ di fruire dell’</w:t>
      </w:r>
      <w:r w:rsidRPr="00BE3C2A">
        <w:rPr>
          <w:rFonts w:ascii="Calibri Light" w:hAnsi="Calibri Light" w:cs="Calibri Light"/>
          <w:b/>
          <w:bCs/>
          <w:sz w:val="22"/>
          <w:szCs w:val="22"/>
        </w:rPr>
        <w:t>agevolazione “prima casa</w:t>
      </w:r>
      <w:r w:rsidRPr="00BE3C2A">
        <w:rPr>
          <w:rFonts w:ascii="Calibri Light" w:hAnsi="Calibri Light" w:cs="Calibri Light"/>
          <w:sz w:val="22"/>
          <w:szCs w:val="22"/>
        </w:rPr>
        <w:t>” per l’</w:t>
      </w:r>
      <w:r w:rsidRPr="00BE3C2A">
        <w:rPr>
          <w:rFonts w:ascii="Calibri Light" w:hAnsi="Calibri Light" w:cs="Calibri Light"/>
          <w:b/>
          <w:bCs/>
          <w:sz w:val="22"/>
          <w:szCs w:val="22"/>
        </w:rPr>
        <w:t xml:space="preserve">acquisto </w:t>
      </w:r>
      <w:r w:rsidRPr="00BE3C2A">
        <w:rPr>
          <w:rFonts w:ascii="Calibri Light" w:hAnsi="Calibri Light" w:cs="Calibri Light"/>
          <w:sz w:val="22"/>
          <w:szCs w:val="22"/>
        </w:rPr>
        <w:t xml:space="preserve">della </w:t>
      </w:r>
      <w:r w:rsidRPr="00BE3C2A">
        <w:rPr>
          <w:rFonts w:ascii="Calibri Light" w:hAnsi="Calibri Light" w:cs="Calibri Light"/>
          <w:b/>
          <w:bCs/>
          <w:sz w:val="22"/>
          <w:szCs w:val="22"/>
        </w:rPr>
        <w:t>seconda unità</w:t>
      </w:r>
      <w:r w:rsidRPr="00BE3C2A">
        <w:rPr>
          <w:rFonts w:ascii="Calibri Light" w:hAnsi="Calibri Light" w:cs="Calibri Light"/>
          <w:sz w:val="22"/>
          <w:szCs w:val="22"/>
        </w:rPr>
        <w:t xml:space="preserve">, nel caso in cui i </w:t>
      </w:r>
      <w:r w:rsidRPr="00BE3C2A">
        <w:rPr>
          <w:rFonts w:ascii="Calibri Light" w:hAnsi="Calibri Light" w:cs="Calibri Light"/>
          <w:b/>
          <w:bCs/>
          <w:sz w:val="22"/>
          <w:szCs w:val="22"/>
        </w:rPr>
        <w:t xml:space="preserve">due alloggi </w:t>
      </w:r>
      <w:r w:rsidRPr="00BE3C2A">
        <w:rPr>
          <w:rFonts w:ascii="Calibri Light" w:hAnsi="Calibri Light" w:cs="Calibri Light"/>
          <w:sz w:val="22"/>
          <w:szCs w:val="22"/>
        </w:rPr>
        <w:t xml:space="preserve">(abitazione </w:t>
      </w:r>
      <w:proofErr w:type="spellStart"/>
      <w:r w:rsidRPr="00BE3C2A">
        <w:rPr>
          <w:rFonts w:ascii="Calibri Light" w:hAnsi="Calibri Light" w:cs="Calibri Light"/>
          <w:sz w:val="22"/>
          <w:szCs w:val="22"/>
        </w:rPr>
        <w:t>preposseduta</w:t>
      </w:r>
      <w:proofErr w:type="spellEnd"/>
      <w:r w:rsidRPr="00BE3C2A">
        <w:rPr>
          <w:rFonts w:ascii="Calibri Light" w:hAnsi="Calibri Light" w:cs="Calibri Light"/>
          <w:sz w:val="22"/>
          <w:szCs w:val="22"/>
        </w:rPr>
        <w:t xml:space="preserve"> e abitazione da acquistare) siano </w:t>
      </w:r>
      <w:r w:rsidRPr="00BE3C2A">
        <w:rPr>
          <w:rFonts w:ascii="Calibri Light" w:hAnsi="Calibri Light" w:cs="Calibri Light"/>
          <w:b/>
          <w:bCs/>
          <w:sz w:val="22"/>
          <w:szCs w:val="22"/>
        </w:rPr>
        <w:t xml:space="preserve">adiacenti </w:t>
      </w:r>
      <w:r w:rsidRPr="00BE3C2A">
        <w:rPr>
          <w:rFonts w:ascii="Calibri Light" w:hAnsi="Calibri Light" w:cs="Calibri Light"/>
          <w:sz w:val="22"/>
          <w:szCs w:val="22"/>
        </w:rPr>
        <w:t xml:space="preserve">e destinati ad essere accorpati in un’unica unità abitativa a patto che l’abitazione conservi categoria catastale diversa da A/1, A/8 e A/9, </w:t>
      </w:r>
      <w:r w:rsidRPr="00BE3C2A">
        <w:rPr>
          <w:rFonts w:ascii="Calibri Light" w:hAnsi="Calibri Light" w:cs="Calibri Light"/>
          <w:b/>
          <w:bCs/>
          <w:sz w:val="22"/>
          <w:szCs w:val="22"/>
        </w:rPr>
        <w:t xml:space="preserve">nel caso di specie la </w:t>
      </w:r>
      <w:proofErr w:type="spellStart"/>
      <w:r w:rsidRPr="00BE3C2A">
        <w:rPr>
          <w:rFonts w:ascii="Calibri Light" w:hAnsi="Calibri Light" w:cs="Calibri Light"/>
          <w:b/>
          <w:bCs/>
          <w:sz w:val="22"/>
          <w:szCs w:val="22"/>
        </w:rPr>
        <w:t>facolta</w:t>
      </w:r>
      <w:proofErr w:type="spellEnd"/>
      <w:r w:rsidRPr="00BE3C2A">
        <w:rPr>
          <w:rFonts w:ascii="Calibri Light" w:hAnsi="Calibri Light" w:cs="Calibri Light"/>
          <w:b/>
          <w:bCs/>
          <w:sz w:val="22"/>
          <w:szCs w:val="22"/>
        </w:rPr>
        <w:t>̀ viene negata</w:t>
      </w:r>
      <w:r w:rsidRPr="00BE3C2A">
        <w:rPr>
          <w:rFonts w:ascii="Calibri Light" w:hAnsi="Calibri Light" w:cs="Calibri Light"/>
          <w:sz w:val="22"/>
          <w:szCs w:val="22"/>
        </w:rPr>
        <w:t>.</w:t>
      </w:r>
      <w:r w:rsidRPr="00BE3C2A">
        <w:rPr>
          <w:rFonts w:ascii="Calibri Light" w:hAnsi="Calibri Light" w:cs="Calibri Light"/>
          <w:sz w:val="22"/>
          <w:szCs w:val="22"/>
        </w:rPr>
        <w:br/>
      </w:r>
    </w:p>
    <w:p w14:paraId="5E0E478A" w14:textId="77777777" w:rsidR="00BE3C2A" w:rsidRPr="00BE3C2A" w:rsidRDefault="00BE3C2A" w:rsidP="00BE3C2A">
      <w:pPr>
        <w:rPr>
          <w:rFonts w:ascii="Calibri Light" w:hAnsi="Calibri Light" w:cs="Calibri Light"/>
          <w:i/>
          <w:iCs/>
          <w:sz w:val="22"/>
          <w:szCs w:val="22"/>
        </w:rPr>
      </w:pPr>
      <w:r w:rsidRPr="00BE3C2A">
        <w:rPr>
          <w:rFonts w:ascii="Calibri Light" w:hAnsi="Calibri Light" w:cs="Calibri Light"/>
          <w:sz w:val="22"/>
          <w:szCs w:val="22"/>
        </w:rPr>
        <w:t xml:space="preserve">Le </w:t>
      </w:r>
      <w:r w:rsidRPr="00BE3C2A">
        <w:rPr>
          <w:rFonts w:ascii="Calibri Light" w:hAnsi="Calibri Light" w:cs="Calibri Light"/>
          <w:b/>
          <w:bCs/>
          <w:sz w:val="22"/>
          <w:szCs w:val="22"/>
        </w:rPr>
        <w:t>agevolazioni “prima casa”</w:t>
      </w:r>
      <w:r w:rsidRPr="00BE3C2A">
        <w:rPr>
          <w:rFonts w:ascii="Calibri Light" w:hAnsi="Calibri Light" w:cs="Calibri Light"/>
          <w:sz w:val="22"/>
          <w:szCs w:val="22"/>
        </w:rPr>
        <w:t xml:space="preserve">, in caso di accorpamento di due unità immobiliari, sono </w:t>
      </w:r>
      <w:r w:rsidRPr="00BE3C2A">
        <w:rPr>
          <w:rFonts w:ascii="Calibri Light" w:hAnsi="Calibri Light" w:cs="Calibri Light"/>
          <w:b/>
          <w:bCs/>
          <w:sz w:val="22"/>
          <w:szCs w:val="22"/>
        </w:rPr>
        <w:t xml:space="preserve">riconosciute </w:t>
      </w:r>
      <w:r w:rsidRPr="00BE3C2A">
        <w:rPr>
          <w:rFonts w:ascii="Calibri Light" w:hAnsi="Calibri Light" w:cs="Calibri Light"/>
          <w:sz w:val="22"/>
          <w:szCs w:val="22"/>
        </w:rPr>
        <w:t xml:space="preserve">unicamente, precisa l’Amministrazione finanziaria, </w:t>
      </w:r>
      <w:r w:rsidRPr="00BE3C2A">
        <w:rPr>
          <w:rFonts w:ascii="Calibri Light" w:hAnsi="Calibri Light" w:cs="Calibri Light"/>
          <w:b/>
          <w:bCs/>
          <w:sz w:val="22"/>
          <w:szCs w:val="22"/>
        </w:rPr>
        <w:t>se l’acquirente si impegna</w:t>
      </w:r>
      <w:r w:rsidRPr="00BE3C2A">
        <w:rPr>
          <w:rFonts w:ascii="Calibri Light" w:hAnsi="Calibri Light" w:cs="Calibri Light"/>
          <w:sz w:val="22"/>
          <w:szCs w:val="22"/>
        </w:rPr>
        <w:t>, in fase di acquisto, nel rispetto degli altri requisiti richiesti dalla nota II-</w:t>
      </w:r>
      <w:r w:rsidRPr="00BE3C2A">
        <w:rPr>
          <w:rFonts w:ascii="Calibri Light" w:hAnsi="Calibri Light" w:cs="Calibri Light"/>
          <w:i/>
          <w:iCs/>
          <w:sz w:val="22"/>
          <w:szCs w:val="22"/>
        </w:rPr>
        <w:t>bis</w:t>
      </w:r>
      <w:r w:rsidRPr="00BE3C2A">
        <w:rPr>
          <w:rFonts w:ascii="Calibri Light" w:hAnsi="Calibri Light" w:cs="Calibri Light"/>
          <w:sz w:val="22"/>
          <w:szCs w:val="22"/>
        </w:rPr>
        <w:t>, a «</w:t>
      </w:r>
      <w:r w:rsidRPr="00BE3C2A">
        <w:rPr>
          <w:rFonts w:ascii="Calibri Light" w:hAnsi="Calibri Light" w:cs="Calibri Light"/>
          <w:b/>
          <w:bCs/>
          <w:i/>
          <w:iCs/>
          <w:sz w:val="22"/>
          <w:szCs w:val="22"/>
        </w:rPr>
        <w:t xml:space="preserve">fondere anche sotto il profilo catastale la propria prima casa di abitazione </w:t>
      </w:r>
      <w:proofErr w:type="spellStart"/>
      <w:r w:rsidRPr="00BE3C2A">
        <w:rPr>
          <w:rFonts w:ascii="Calibri Light" w:hAnsi="Calibri Light" w:cs="Calibri Light"/>
          <w:b/>
          <w:bCs/>
          <w:i/>
          <w:iCs/>
          <w:sz w:val="22"/>
          <w:szCs w:val="22"/>
        </w:rPr>
        <w:t>preposseduta</w:t>
      </w:r>
      <w:proofErr w:type="spellEnd"/>
      <w:r w:rsidRPr="00BE3C2A">
        <w:rPr>
          <w:rFonts w:ascii="Calibri Light" w:hAnsi="Calibri Light" w:cs="Calibri Light"/>
          <w:b/>
          <w:bCs/>
          <w:i/>
          <w:iCs/>
          <w:sz w:val="22"/>
          <w:szCs w:val="22"/>
        </w:rPr>
        <w:t xml:space="preserve"> con la porzione immobiliare acquistata, in modo da creare un’unica unità abitativa</w:t>
      </w:r>
      <w:r w:rsidRPr="00BE3C2A">
        <w:rPr>
          <w:rFonts w:ascii="Calibri Light" w:hAnsi="Calibri Light" w:cs="Calibri Light"/>
          <w:i/>
          <w:iCs/>
          <w:sz w:val="22"/>
          <w:szCs w:val="22"/>
        </w:rPr>
        <w:t>».</w:t>
      </w:r>
    </w:p>
    <w:p w14:paraId="64DB5824"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i/>
          <w:iCs/>
          <w:sz w:val="22"/>
          <w:szCs w:val="22"/>
        </w:rPr>
        <w:br/>
      </w:r>
      <w:r w:rsidRPr="00BE3C2A">
        <w:rPr>
          <w:rFonts w:ascii="Calibri Light" w:hAnsi="Calibri Light" w:cs="Calibri Light"/>
          <w:sz w:val="22"/>
          <w:szCs w:val="22"/>
        </w:rPr>
        <w:t xml:space="preserve">Invece, l’operazione di </w:t>
      </w:r>
      <w:r w:rsidRPr="00BE3C2A">
        <w:rPr>
          <w:rFonts w:ascii="Calibri Light" w:hAnsi="Calibri Light" w:cs="Calibri Light"/>
          <w:b/>
          <w:bCs/>
          <w:sz w:val="22"/>
          <w:szCs w:val="22"/>
        </w:rPr>
        <w:t>demolizione e ricostruzione</w:t>
      </w:r>
      <w:r w:rsidRPr="00BE3C2A">
        <w:rPr>
          <w:rFonts w:ascii="Calibri Light" w:hAnsi="Calibri Light" w:cs="Calibri Light"/>
          <w:sz w:val="22"/>
          <w:szCs w:val="22"/>
        </w:rPr>
        <w:t xml:space="preserve">, </w:t>
      </w:r>
      <w:r w:rsidRPr="00BE3C2A">
        <w:rPr>
          <w:rFonts w:ascii="Calibri Light" w:hAnsi="Calibri Light" w:cs="Calibri Light"/>
          <w:b/>
          <w:bCs/>
          <w:sz w:val="22"/>
          <w:szCs w:val="22"/>
        </w:rPr>
        <w:t xml:space="preserve">successiva </w:t>
      </w:r>
      <w:r w:rsidRPr="00BE3C2A">
        <w:rPr>
          <w:rFonts w:ascii="Calibri Light" w:hAnsi="Calibri Light" w:cs="Calibri Light"/>
          <w:sz w:val="22"/>
          <w:szCs w:val="22"/>
        </w:rPr>
        <w:t>all’</w:t>
      </w:r>
      <w:r w:rsidRPr="00BE3C2A">
        <w:rPr>
          <w:rFonts w:ascii="Calibri Light" w:hAnsi="Calibri Light" w:cs="Calibri Light"/>
          <w:b/>
          <w:bCs/>
          <w:sz w:val="22"/>
          <w:szCs w:val="22"/>
        </w:rPr>
        <w:t xml:space="preserve">acquisto </w:t>
      </w:r>
      <w:r w:rsidRPr="00BE3C2A">
        <w:rPr>
          <w:rFonts w:ascii="Calibri Light" w:hAnsi="Calibri Light" w:cs="Calibri Light"/>
          <w:sz w:val="22"/>
          <w:szCs w:val="22"/>
        </w:rPr>
        <w:t>dell’</w:t>
      </w:r>
      <w:r w:rsidRPr="00BE3C2A">
        <w:rPr>
          <w:rFonts w:ascii="Calibri Light" w:hAnsi="Calibri Light" w:cs="Calibri Light"/>
          <w:b/>
          <w:bCs/>
          <w:sz w:val="22"/>
          <w:szCs w:val="22"/>
        </w:rPr>
        <w:t>ulteriore porzione del fabbricato</w:t>
      </w:r>
      <w:r w:rsidRPr="00BE3C2A">
        <w:rPr>
          <w:rFonts w:ascii="Calibri Light" w:hAnsi="Calibri Light" w:cs="Calibri Light"/>
          <w:sz w:val="22"/>
          <w:szCs w:val="22"/>
        </w:rPr>
        <w:t xml:space="preserve">, che l’acquirente intende realizzare </w:t>
      </w:r>
      <w:r w:rsidRPr="00BE3C2A">
        <w:rPr>
          <w:rFonts w:ascii="Calibri Light" w:hAnsi="Calibri Light" w:cs="Calibri Light"/>
          <w:b/>
          <w:bCs/>
          <w:sz w:val="22"/>
          <w:szCs w:val="22"/>
        </w:rPr>
        <w:t xml:space="preserve">non </w:t>
      </w:r>
      <w:proofErr w:type="spellStart"/>
      <w:r w:rsidRPr="00BE3C2A">
        <w:rPr>
          <w:rFonts w:ascii="Calibri Light" w:hAnsi="Calibri Light" w:cs="Calibri Light"/>
          <w:b/>
          <w:bCs/>
          <w:sz w:val="22"/>
          <w:szCs w:val="22"/>
        </w:rPr>
        <w:t>puo</w:t>
      </w:r>
      <w:proofErr w:type="spellEnd"/>
      <w:r w:rsidRPr="00BE3C2A">
        <w:rPr>
          <w:rFonts w:ascii="Calibri Light" w:hAnsi="Calibri Light" w:cs="Calibri Light"/>
          <w:b/>
          <w:bCs/>
          <w:sz w:val="22"/>
          <w:szCs w:val="22"/>
        </w:rPr>
        <w:t>̀</w:t>
      </w:r>
      <w:r w:rsidRPr="00BE3C2A">
        <w:rPr>
          <w:rFonts w:ascii="Calibri Light" w:hAnsi="Calibri Light" w:cs="Calibri Light"/>
          <w:sz w:val="22"/>
          <w:szCs w:val="22"/>
        </w:rPr>
        <w:t xml:space="preserve">, a parere dell’Agenzia delle Entrate, </w:t>
      </w:r>
      <w:r w:rsidRPr="00BE3C2A">
        <w:rPr>
          <w:rFonts w:ascii="Calibri Light" w:hAnsi="Calibri Light" w:cs="Calibri Light"/>
          <w:b/>
          <w:bCs/>
          <w:sz w:val="22"/>
          <w:szCs w:val="22"/>
        </w:rPr>
        <w:t>essere considerata</w:t>
      </w:r>
      <w:r w:rsidRPr="00BE3C2A">
        <w:rPr>
          <w:rFonts w:ascii="Calibri Light" w:hAnsi="Calibri Light" w:cs="Calibri Light"/>
          <w:sz w:val="22"/>
          <w:szCs w:val="22"/>
        </w:rPr>
        <w:t>, anche dal punto di vista catastale, una “</w:t>
      </w:r>
      <w:r w:rsidRPr="00BE3C2A">
        <w:rPr>
          <w:rFonts w:ascii="Calibri Light" w:hAnsi="Calibri Light" w:cs="Calibri Light"/>
          <w:b/>
          <w:bCs/>
          <w:sz w:val="22"/>
          <w:szCs w:val="22"/>
        </w:rPr>
        <w:t>fusione</w:t>
      </w:r>
      <w:r w:rsidRPr="00BE3C2A">
        <w:rPr>
          <w:rFonts w:ascii="Calibri Light" w:hAnsi="Calibri Light" w:cs="Calibri Light"/>
          <w:sz w:val="22"/>
          <w:szCs w:val="22"/>
        </w:rPr>
        <w:t xml:space="preserve">” </w:t>
      </w:r>
      <w:r w:rsidRPr="00BE3C2A">
        <w:rPr>
          <w:rFonts w:ascii="Calibri Light" w:hAnsi="Calibri Light" w:cs="Calibri Light"/>
          <w:b/>
          <w:bCs/>
          <w:sz w:val="22"/>
          <w:szCs w:val="22"/>
        </w:rPr>
        <w:t>e</w:t>
      </w:r>
      <w:r w:rsidRPr="00BE3C2A">
        <w:rPr>
          <w:rFonts w:ascii="Calibri Light" w:hAnsi="Calibri Light" w:cs="Calibri Light"/>
          <w:sz w:val="22"/>
          <w:szCs w:val="22"/>
        </w:rPr>
        <w:t xml:space="preserve">, quindi, </w:t>
      </w:r>
      <w:r w:rsidRPr="00BE3C2A">
        <w:rPr>
          <w:rFonts w:ascii="Calibri Light" w:hAnsi="Calibri Light" w:cs="Calibri Light"/>
          <w:b/>
          <w:bCs/>
          <w:sz w:val="22"/>
          <w:szCs w:val="22"/>
        </w:rPr>
        <w:t xml:space="preserve">non </w:t>
      </w:r>
      <w:proofErr w:type="spellStart"/>
      <w:r w:rsidRPr="00BE3C2A">
        <w:rPr>
          <w:rFonts w:ascii="Calibri Light" w:hAnsi="Calibri Light" w:cs="Calibri Light"/>
          <w:b/>
          <w:bCs/>
          <w:sz w:val="22"/>
          <w:szCs w:val="22"/>
        </w:rPr>
        <w:t>puo</w:t>
      </w:r>
      <w:proofErr w:type="spellEnd"/>
      <w:r w:rsidRPr="00BE3C2A">
        <w:rPr>
          <w:rFonts w:ascii="Calibri Light" w:hAnsi="Calibri Light" w:cs="Calibri Light"/>
          <w:b/>
          <w:bCs/>
          <w:sz w:val="22"/>
          <w:szCs w:val="22"/>
        </w:rPr>
        <w:t xml:space="preserve">̀ essere assimilata </w:t>
      </w:r>
      <w:r w:rsidRPr="00BE3C2A">
        <w:rPr>
          <w:rFonts w:ascii="Calibri Light" w:hAnsi="Calibri Light" w:cs="Calibri Light"/>
          <w:sz w:val="22"/>
          <w:szCs w:val="22"/>
        </w:rPr>
        <w:t xml:space="preserve">a un </w:t>
      </w:r>
      <w:r w:rsidRPr="00BE3C2A">
        <w:rPr>
          <w:rFonts w:ascii="Calibri Light" w:hAnsi="Calibri Light" w:cs="Calibri Light"/>
          <w:b/>
          <w:bCs/>
          <w:sz w:val="22"/>
          <w:szCs w:val="22"/>
        </w:rPr>
        <w:t xml:space="preserve">ampliamento o </w:t>
      </w:r>
      <w:r w:rsidRPr="00BE3C2A">
        <w:rPr>
          <w:rFonts w:ascii="Calibri Light" w:hAnsi="Calibri Light" w:cs="Calibri Light"/>
          <w:sz w:val="22"/>
          <w:szCs w:val="22"/>
        </w:rPr>
        <w:t xml:space="preserve">ad un </w:t>
      </w:r>
      <w:r w:rsidRPr="00BE3C2A">
        <w:rPr>
          <w:rFonts w:ascii="Calibri Light" w:hAnsi="Calibri Light" w:cs="Calibri Light"/>
          <w:b/>
          <w:bCs/>
          <w:sz w:val="22"/>
          <w:szCs w:val="22"/>
        </w:rPr>
        <w:t xml:space="preserve">accorpamento della preesistente "prima casa" </w:t>
      </w:r>
      <w:r w:rsidRPr="00BE3C2A">
        <w:rPr>
          <w:rFonts w:ascii="Calibri Light" w:hAnsi="Calibri Light" w:cs="Calibri Light"/>
          <w:sz w:val="22"/>
          <w:szCs w:val="22"/>
        </w:rPr>
        <w:t>di abitazione con altra unità immobiliare, in modo da creare un'unica unità abitativa.</w:t>
      </w:r>
      <w:r w:rsidRPr="00BE3C2A">
        <w:rPr>
          <w:rFonts w:ascii="Calibri Light" w:hAnsi="Calibri Light" w:cs="Calibri Light"/>
          <w:sz w:val="22"/>
          <w:szCs w:val="22"/>
        </w:rPr>
        <w:br/>
      </w:r>
    </w:p>
    <w:p w14:paraId="4DD14334" w14:textId="77777777" w:rsidR="00BE3C2A" w:rsidRPr="00BE3C2A" w:rsidRDefault="00BE3C2A" w:rsidP="00BE3C2A">
      <w:pPr>
        <w:rPr>
          <w:rFonts w:ascii="Calibri Light" w:hAnsi="Calibri Light" w:cs="Calibri Light"/>
          <w:sz w:val="22"/>
          <w:szCs w:val="22"/>
        </w:rPr>
      </w:pPr>
      <w:r w:rsidRPr="00BE3C2A">
        <w:rPr>
          <w:rFonts w:ascii="Calibri Light" w:hAnsi="Calibri Light" w:cs="Calibri Light"/>
          <w:sz w:val="22"/>
          <w:szCs w:val="22"/>
        </w:rPr>
        <w:lastRenderedPageBreak/>
        <w:t xml:space="preserve">Alla luce di tale ragionamento, come chiarito nella Risposta 113/E/2020 </w:t>
      </w:r>
      <w:r w:rsidRPr="00BE3C2A">
        <w:rPr>
          <w:rFonts w:ascii="Calibri Light" w:hAnsi="Calibri Light" w:cs="Calibri Light"/>
          <w:b/>
          <w:bCs/>
          <w:sz w:val="22"/>
          <w:szCs w:val="22"/>
        </w:rPr>
        <w:t xml:space="preserve">l’acquisto dell’ulteriore unità immobiliare non </w:t>
      </w:r>
      <w:proofErr w:type="spellStart"/>
      <w:r w:rsidRPr="00BE3C2A">
        <w:rPr>
          <w:rFonts w:ascii="Calibri Light" w:hAnsi="Calibri Light" w:cs="Calibri Light"/>
          <w:b/>
          <w:bCs/>
          <w:sz w:val="22"/>
          <w:szCs w:val="22"/>
        </w:rPr>
        <w:t>puo</w:t>
      </w:r>
      <w:proofErr w:type="spellEnd"/>
      <w:r w:rsidRPr="00BE3C2A">
        <w:rPr>
          <w:rFonts w:ascii="Calibri Light" w:hAnsi="Calibri Light" w:cs="Calibri Light"/>
          <w:b/>
          <w:bCs/>
          <w:sz w:val="22"/>
          <w:szCs w:val="22"/>
        </w:rPr>
        <w:t>̀ usufruire dei benefici “prima casa”</w:t>
      </w:r>
      <w:r w:rsidRPr="00BE3C2A">
        <w:rPr>
          <w:rFonts w:ascii="Calibri Light" w:hAnsi="Calibri Light" w:cs="Calibri Light"/>
          <w:sz w:val="22"/>
          <w:szCs w:val="22"/>
        </w:rPr>
        <w:t>.</w:t>
      </w:r>
      <w:r w:rsidRPr="00BE3C2A">
        <w:rPr>
          <w:rFonts w:ascii="Calibri Light" w:hAnsi="Calibri Light" w:cs="Calibri Light"/>
          <w:sz w:val="22"/>
          <w:szCs w:val="22"/>
        </w:rPr>
        <w:br/>
        <w:t xml:space="preserve">In sostanza, nel caso di specie l’Agenzia delle Entrate nega l’agevolazione sulla nuova porzione acquistata, che </w:t>
      </w:r>
      <w:proofErr w:type="spellStart"/>
      <w:r w:rsidRPr="00BE3C2A">
        <w:rPr>
          <w:rFonts w:ascii="Calibri Light" w:hAnsi="Calibri Light" w:cs="Calibri Light"/>
          <w:sz w:val="22"/>
          <w:szCs w:val="22"/>
        </w:rPr>
        <w:t>verra</w:t>
      </w:r>
      <w:proofErr w:type="spellEnd"/>
      <w:r w:rsidRPr="00BE3C2A">
        <w:rPr>
          <w:rFonts w:ascii="Calibri Light" w:hAnsi="Calibri Light" w:cs="Calibri Light"/>
          <w:sz w:val="22"/>
          <w:szCs w:val="22"/>
        </w:rPr>
        <w:t>̀ accorpata con l’originaria “prima casa” mediante demolizione e ricostruzione, pur confermando, in linea generale, il beneficio se l’unificazione delle due unità avvenga mediante “fusione” catastale (senza demolizione).</w:t>
      </w:r>
      <w:r w:rsidRPr="00BE3C2A">
        <w:rPr>
          <w:rFonts w:ascii="Calibri Light" w:hAnsi="Calibri Light" w:cs="Calibri Light"/>
          <w:sz w:val="22"/>
          <w:szCs w:val="22"/>
        </w:rPr>
        <w:br/>
        <w:t xml:space="preserve">Tale interpretazione restrittiva suscita </w:t>
      </w:r>
      <w:proofErr w:type="spellStart"/>
      <w:r w:rsidRPr="00BE3C2A">
        <w:rPr>
          <w:rFonts w:ascii="Calibri Light" w:hAnsi="Calibri Light" w:cs="Calibri Light"/>
          <w:sz w:val="22"/>
          <w:szCs w:val="22"/>
        </w:rPr>
        <w:t>perplessita</w:t>
      </w:r>
      <w:proofErr w:type="spellEnd"/>
      <w:r w:rsidRPr="00BE3C2A">
        <w:rPr>
          <w:rFonts w:ascii="Calibri Light" w:hAnsi="Calibri Light" w:cs="Calibri Light"/>
          <w:sz w:val="22"/>
          <w:szCs w:val="22"/>
        </w:rPr>
        <w:t xml:space="preserve">̀ ed appare in contraddizione con la </w:t>
      </w:r>
      <w:proofErr w:type="spellStart"/>
      <w:r w:rsidRPr="00BE3C2A">
        <w:rPr>
          <w:rFonts w:ascii="Calibri Light" w:hAnsi="Calibri Light" w:cs="Calibri Light"/>
          <w:sz w:val="22"/>
          <w:szCs w:val="22"/>
        </w:rPr>
        <w:t>possibilita</w:t>
      </w:r>
      <w:proofErr w:type="spellEnd"/>
      <w:r w:rsidRPr="00BE3C2A">
        <w:rPr>
          <w:rFonts w:ascii="Calibri Light" w:hAnsi="Calibri Light" w:cs="Calibri Light"/>
          <w:sz w:val="22"/>
          <w:szCs w:val="22"/>
        </w:rPr>
        <w:t xml:space="preserve">̀, </w:t>
      </w:r>
      <w:proofErr w:type="spellStart"/>
      <w:r w:rsidRPr="00BE3C2A">
        <w:rPr>
          <w:rFonts w:ascii="Calibri Light" w:hAnsi="Calibri Light" w:cs="Calibri Light"/>
          <w:sz w:val="22"/>
          <w:szCs w:val="22"/>
        </w:rPr>
        <w:t>gia</w:t>
      </w:r>
      <w:proofErr w:type="spellEnd"/>
      <w:r w:rsidRPr="00BE3C2A">
        <w:rPr>
          <w:rFonts w:ascii="Calibri Light" w:hAnsi="Calibri Light" w:cs="Calibri Light"/>
          <w:sz w:val="22"/>
          <w:szCs w:val="22"/>
        </w:rPr>
        <w:t xml:space="preserve">̀ ammessa dall’Agenzia delle Entrate, di fruire del beneficio fiscale anche per i successivi acquisti di unità destinate all’accorpamento, a patto che i due alloggi costituiscano un’abitazione unica rientrante nella tipologia “non di lusso”, nell'ottica di favorire non solo l'acquisto della “prima casa” ma anche gli interventi successivi, finalizzati al miglioramento delle condizioni di utilizzo della stessa. </w:t>
      </w:r>
    </w:p>
    <w:p w14:paraId="700C11D5" w14:textId="77777777" w:rsidR="00BE3C2A" w:rsidRPr="00BE3C2A" w:rsidRDefault="00BE3C2A" w:rsidP="00BE3C2A">
      <w:pPr>
        <w:spacing w:before="100" w:beforeAutospacing="1" w:after="100" w:afterAutospacing="1"/>
        <w:rPr>
          <w:rFonts w:ascii="Calibri Light" w:hAnsi="Calibri Light" w:cs="Calibri Light"/>
          <w:sz w:val="22"/>
          <w:szCs w:val="22"/>
        </w:rPr>
      </w:pPr>
      <w:r w:rsidRPr="00BE3C2A">
        <w:rPr>
          <w:rFonts w:ascii="Calibri Light" w:hAnsi="Calibri Light" w:cs="Calibri Light"/>
          <w:sz w:val="22"/>
          <w:szCs w:val="22"/>
        </w:rPr>
        <w:t xml:space="preserve">[1] </w:t>
      </w:r>
      <w:r w:rsidRPr="00BE3C2A">
        <w:rPr>
          <w:rFonts w:ascii="Calibri Light" w:hAnsi="Calibri Light" w:cs="Calibri Light"/>
          <w:i/>
          <w:iCs/>
          <w:sz w:val="22"/>
          <w:szCs w:val="22"/>
        </w:rPr>
        <w:t>Cfr</w:t>
      </w:r>
      <w:r w:rsidRPr="00BE3C2A">
        <w:rPr>
          <w:rFonts w:ascii="Calibri Light" w:hAnsi="Calibri Light" w:cs="Calibri Light"/>
          <w:sz w:val="22"/>
          <w:szCs w:val="22"/>
        </w:rPr>
        <w:t>. Nota II-bis, all’art.1 della Tariffa, Parte I, allegata al D.P.R. 26 aprile 1986 (estratto).</w:t>
      </w:r>
      <w:r w:rsidRPr="00BE3C2A">
        <w:rPr>
          <w:rFonts w:ascii="Calibri Light" w:hAnsi="Calibri Light" w:cs="Calibri Light"/>
          <w:sz w:val="22"/>
          <w:szCs w:val="22"/>
        </w:rPr>
        <w:br/>
        <w:t xml:space="preserve">“1. Ai fini dell'applicazione dell'aliquota del 2 per cento agli atti traslativi a titolo oneroso della </w:t>
      </w:r>
      <w:proofErr w:type="spellStart"/>
      <w:r w:rsidRPr="00BE3C2A">
        <w:rPr>
          <w:rFonts w:ascii="Calibri Light" w:hAnsi="Calibri Light" w:cs="Calibri Light"/>
          <w:sz w:val="22"/>
          <w:szCs w:val="22"/>
        </w:rPr>
        <w:t>proprieta</w:t>
      </w:r>
      <w:proofErr w:type="spellEnd"/>
      <w:r w:rsidRPr="00BE3C2A">
        <w:rPr>
          <w:rFonts w:ascii="Calibri Light" w:hAnsi="Calibri Light" w:cs="Calibri Light"/>
          <w:sz w:val="22"/>
          <w:szCs w:val="22"/>
        </w:rPr>
        <w:t xml:space="preserve">̀ di case di abitazione non di lusso e agli atti traslativi o costitutivi della nuda </w:t>
      </w:r>
      <w:proofErr w:type="spellStart"/>
      <w:r w:rsidRPr="00BE3C2A">
        <w:rPr>
          <w:rFonts w:ascii="Calibri Light" w:hAnsi="Calibri Light" w:cs="Calibri Light"/>
          <w:sz w:val="22"/>
          <w:szCs w:val="22"/>
        </w:rPr>
        <w:t>proprieta</w:t>
      </w:r>
      <w:proofErr w:type="spellEnd"/>
      <w:r w:rsidRPr="00BE3C2A">
        <w:rPr>
          <w:rFonts w:ascii="Calibri Light" w:hAnsi="Calibri Light" w:cs="Calibri Light"/>
          <w:sz w:val="22"/>
          <w:szCs w:val="22"/>
        </w:rPr>
        <w:t>̀, dell'usufrutto, dell'uso e dell'abitazione relativi alle stesse, devono ricorrere le seguenti condizioni:</w:t>
      </w:r>
      <w:r w:rsidRPr="00BE3C2A">
        <w:rPr>
          <w:rFonts w:ascii="Calibri Light" w:hAnsi="Calibri Light" w:cs="Calibri Light"/>
          <w:sz w:val="22"/>
          <w:szCs w:val="22"/>
        </w:rPr>
        <w:br/>
        <w:t xml:space="preserve">a) che l'immobile sia ubicato nel territorio del comune in cui l'acquirente ha o stabilisca entro diciotto mesi dall'acquisto la propria residenza o, se diverso, in quello in cui l'acquirente svolge la propria </w:t>
      </w:r>
      <w:proofErr w:type="spellStart"/>
      <w:r w:rsidRPr="00BE3C2A">
        <w:rPr>
          <w:rFonts w:ascii="Calibri Light" w:hAnsi="Calibri Light" w:cs="Calibri Light"/>
          <w:sz w:val="22"/>
          <w:szCs w:val="22"/>
        </w:rPr>
        <w:t>attivita</w:t>
      </w:r>
      <w:proofErr w:type="spellEnd"/>
      <w:r w:rsidRPr="00BE3C2A">
        <w:rPr>
          <w:rFonts w:ascii="Calibri Light" w:hAnsi="Calibri Light" w:cs="Calibri Light"/>
          <w:sz w:val="22"/>
          <w:szCs w:val="22"/>
        </w:rPr>
        <w:t>̀ ovvero, se trasferito all'estero per ragioni di lavoro, in quello in cui ha sede o esercita l'</w:t>
      </w:r>
      <w:proofErr w:type="spellStart"/>
      <w:r w:rsidRPr="00BE3C2A">
        <w:rPr>
          <w:rFonts w:ascii="Calibri Light" w:hAnsi="Calibri Light" w:cs="Calibri Light"/>
          <w:sz w:val="22"/>
          <w:szCs w:val="22"/>
        </w:rPr>
        <w:t>attivita</w:t>
      </w:r>
      <w:proofErr w:type="spellEnd"/>
      <w:r w:rsidRPr="00BE3C2A">
        <w:rPr>
          <w:rFonts w:ascii="Calibri Light" w:hAnsi="Calibri Light" w:cs="Calibri Light"/>
          <w:sz w:val="22"/>
          <w:szCs w:val="22"/>
        </w:rPr>
        <w:t>̀ il soggetto da cui dipende ovvero, nel caso in cui l'acquirente sia cittadino italiano emigrato all'estero, che l'immobile sia acquisito come prima casa sul territorio italiano. La dichiarazione di voler stabilire la residenza nel comune ove è ubicato l'immobile acquistato deve essere resa, a pena di decadenza, dall'acquirente nell'atto di acquisto;</w:t>
      </w:r>
      <w:r w:rsidRPr="00BE3C2A">
        <w:rPr>
          <w:rFonts w:ascii="Calibri Light" w:hAnsi="Calibri Light" w:cs="Calibri Light"/>
          <w:sz w:val="22"/>
          <w:szCs w:val="22"/>
        </w:rPr>
        <w:br/>
        <w:t xml:space="preserve">b) che nell'atto di acquisto l'acquirente dichiari di non essere titolare esclusivo o in comunione con il coniuge dei diritti di </w:t>
      </w:r>
      <w:proofErr w:type="spellStart"/>
      <w:r w:rsidRPr="00BE3C2A">
        <w:rPr>
          <w:rFonts w:ascii="Calibri Light" w:hAnsi="Calibri Light" w:cs="Calibri Light"/>
          <w:sz w:val="22"/>
          <w:szCs w:val="22"/>
        </w:rPr>
        <w:t>proprieta</w:t>
      </w:r>
      <w:proofErr w:type="spellEnd"/>
      <w:r w:rsidRPr="00BE3C2A">
        <w:rPr>
          <w:rFonts w:ascii="Calibri Light" w:hAnsi="Calibri Light" w:cs="Calibri Light"/>
          <w:sz w:val="22"/>
          <w:szCs w:val="22"/>
        </w:rPr>
        <w:t>̀, usufrutto, uso e abitazione di altra casa di abitazione nel territorio del comune in cui è situato l'immobile da acquistare;</w:t>
      </w:r>
      <w:r w:rsidRPr="00BE3C2A">
        <w:rPr>
          <w:rFonts w:ascii="Calibri Light" w:hAnsi="Calibri Light" w:cs="Calibri Light"/>
          <w:sz w:val="22"/>
          <w:szCs w:val="22"/>
        </w:rPr>
        <w:br/>
        <w:t xml:space="preserve">c) che nell'atto di acquisto l'acquirente dichiari di non essere titolare, neppure per quote, anche in regime di comunione legale su tutto il territorio nazionale dei diritti di </w:t>
      </w:r>
      <w:proofErr w:type="spellStart"/>
      <w:r w:rsidRPr="00BE3C2A">
        <w:rPr>
          <w:rFonts w:ascii="Calibri Light" w:hAnsi="Calibri Light" w:cs="Calibri Light"/>
          <w:sz w:val="22"/>
          <w:szCs w:val="22"/>
        </w:rPr>
        <w:t>proprieta</w:t>
      </w:r>
      <w:proofErr w:type="spellEnd"/>
      <w:r w:rsidRPr="00BE3C2A">
        <w:rPr>
          <w:rFonts w:ascii="Calibri Light" w:hAnsi="Calibri Light" w:cs="Calibri Light"/>
          <w:sz w:val="22"/>
          <w:szCs w:val="22"/>
        </w:rPr>
        <w:t xml:space="preserve">̀, usufrutto, uso, abitazione e nuda </w:t>
      </w:r>
      <w:proofErr w:type="spellStart"/>
      <w:r w:rsidRPr="00BE3C2A">
        <w:rPr>
          <w:rFonts w:ascii="Calibri Light" w:hAnsi="Calibri Light" w:cs="Calibri Light"/>
          <w:sz w:val="22"/>
          <w:szCs w:val="22"/>
        </w:rPr>
        <w:t>proprieta</w:t>
      </w:r>
      <w:proofErr w:type="spellEnd"/>
      <w:r w:rsidRPr="00BE3C2A">
        <w:rPr>
          <w:rFonts w:ascii="Calibri Light" w:hAnsi="Calibri Light" w:cs="Calibri Light"/>
          <w:sz w:val="22"/>
          <w:szCs w:val="22"/>
        </w:rPr>
        <w:t>̀ su altra casa di abitazione acquistata dallo stesso soggetto o dal coniuge con le agevolazioni di cui al presente articolo (...)”.</w:t>
      </w:r>
      <w:r w:rsidRPr="00BE3C2A">
        <w:rPr>
          <w:rFonts w:ascii="Calibri Light" w:hAnsi="Calibri Light" w:cs="Calibri Light"/>
          <w:sz w:val="22"/>
          <w:szCs w:val="22"/>
        </w:rPr>
        <w:br/>
        <w:t xml:space="preserve">[2] </w:t>
      </w:r>
      <w:r w:rsidRPr="00BE3C2A">
        <w:rPr>
          <w:rFonts w:ascii="Calibri Light" w:hAnsi="Calibri Light" w:cs="Calibri Light"/>
          <w:i/>
          <w:iCs/>
          <w:sz w:val="22"/>
          <w:szCs w:val="22"/>
        </w:rPr>
        <w:t>Cfr</w:t>
      </w:r>
      <w:r w:rsidRPr="00BE3C2A">
        <w:rPr>
          <w:rFonts w:ascii="Calibri Light" w:hAnsi="Calibri Light" w:cs="Calibri Light"/>
          <w:sz w:val="22"/>
          <w:szCs w:val="22"/>
        </w:rPr>
        <w:t xml:space="preserve">. Le Circolari </w:t>
      </w:r>
      <w:proofErr w:type="spellStart"/>
      <w:r w:rsidRPr="00BE3C2A">
        <w:rPr>
          <w:rFonts w:ascii="Calibri Light" w:hAnsi="Calibri Light" w:cs="Calibri Light"/>
          <w:sz w:val="22"/>
          <w:szCs w:val="22"/>
        </w:rPr>
        <w:t>nn</w:t>
      </w:r>
      <w:proofErr w:type="spellEnd"/>
      <w:r w:rsidRPr="00BE3C2A">
        <w:rPr>
          <w:rFonts w:ascii="Calibri Light" w:hAnsi="Calibri Light" w:cs="Calibri Light"/>
          <w:sz w:val="22"/>
          <w:szCs w:val="22"/>
        </w:rPr>
        <w:t xml:space="preserve">. 38/E/2005 e 31/E/2010, e le Risoluzioni </w:t>
      </w:r>
      <w:proofErr w:type="spellStart"/>
      <w:r w:rsidRPr="00BE3C2A">
        <w:rPr>
          <w:rFonts w:ascii="Calibri Light" w:hAnsi="Calibri Light" w:cs="Calibri Light"/>
          <w:sz w:val="22"/>
          <w:szCs w:val="22"/>
        </w:rPr>
        <w:t>nn</w:t>
      </w:r>
      <w:proofErr w:type="spellEnd"/>
      <w:r w:rsidRPr="00BE3C2A">
        <w:rPr>
          <w:rFonts w:ascii="Calibri Light" w:hAnsi="Calibri Light" w:cs="Calibri Light"/>
          <w:sz w:val="22"/>
          <w:szCs w:val="22"/>
        </w:rPr>
        <w:t xml:space="preserve">. 25/E/2005 e 142/E/2009. </w:t>
      </w:r>
    </w:p>
    <w:p w14:paraId="1A150075" w14:textId="77777777" w:rsidR="00BE3C2A" w:rsidRPr="00BE3C2A" w:rsidRDefault="00BE3C2A" w:rsidP="00BE3C2A">
      <w:pPr>
        <w:rPr>
          <w:rFonts w:ascii="Calibri Light" w:hAnsi="Calibri Light" w:cs="Calibri Light"/>
          <w:sz w:val="22"/>
          <w:szCs w:val="22"/>
        </w:rPr>
      </w:pPr>
    </w:p>
    <w:p w14:paraId="7C7AA374" w14:textId="07DD9899"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1F0CCBFC" w14:textId="182D3D4E"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Alessandro Castagnino Tel. 075 5820230 – Cell. 335 7175365 </w:t>
      </w:r>
    </w:p>
    <w:p w14:paraId="48FA35B9"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A82347">
        <w:rPr>
          <w:rFonts w:ascii="Calibri" w:hAnsi="Calibri" w:cs="Calibri"/>
          <w:sz w:val="22"/>
          <w:szCs w:val="22"/>
          <w:lang w:val="en-US"/>
        </w:rPr>
        <w:t xml:space="preserve">Email: </w:t>
      </w:r>
      <w:hyperlink r:id="rId7" w:history="1">
        <w:r w:rsidRPr="00A82347">
          <w:rPr>
            <w:rFonts w:ascii="Calibri" w:hAnsi="Calibri" w:cs="Calibri"/>
            <w:color w:val="0000FF"/>
            <w:sz w:val="22"/>
            <w:szCs w:val="22"/>
            <w:u w:val="single"/>
            <w:lang w:val="en-US"/>
          </w:rPr>
          <w:t>castagnino@confindustria.umbria.it</w:t>
        </w:r>
      </w:hyperlink>
      <w:r w:rsidRPr="00A82347">
        <w:rPr>
          <w:rFonts w:ascii="Calibri" w:hAnsi="Calibri" w:cs="Calibri"/>
          <w:sz w:val="22"/>
          <w:szCs w:val="22"/>
          <w:lang w:val="en-US"/>
        </w:rPr>
        <w:br/>
      </w:r>
    </w:p>
    <w:p w14:paraId="41EBD65E"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Email: </w:t>
      </w:r>
      <w:hyperlink r:id="rId8" w:history="1">
        <w:r w:rsidRPr="00A82347">
          <w:rPr>
            <w:rFonts w:ascii="Calibri" w:hAnsi="Calibri" w:cs="Calibri"/>
            <w:color w:val="0000FF"/>
            <w:sz w:val="22"/>
            <w:szCs w:val="22"/>
            <w:u w:val="single"/>
          </w:rPr>
          <w:t>vignaroli@confindustria.umbria.it</w:t>
        </w:r>
      </w:hyperlink>
      <w:r w:rsidRPr="00A82347">
        <w:rPr>
          <w:rFonts w:ascii="Calibri" w:hAnsi="Calibri" w:cs="Calibri"/>
          <w:sz w:val="22"/>
          <w:szCs w:val="22"/>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1993761F"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Email: </w:t>
      </w:r>
      <w:hyperlink r:id="rId9" w:history="1">
        <w:r w:rsidRPr="00A82347">
          <w:rPr>
            <w:rFonts w:ascii="Calibri" w:hAnsi="Calibri" w:cs="Calibri"/>
            <w:color w:val="0000FF"/>
            <w:sz w:val="22"/>
            <w:szCs w:val="22"/>
            <w:u w:val="single"/>
          </w:rPr>
          <w:t>roscini@confindustria.umbria.it</w:t>
        </w:r>
      </w:hyperlink>
    </w:p>
    <w:p w14:paraId="389CE1E4" w14:textId="77777777" w:rsidR="005A6420" w:rsidRPr="00777439" w:rsidRDefault="005A6420" w:rsidP="008009D5">
      <w:pPr>
        <w:tabs>
          <w:tab w:val="left" w:pos="720"/>
          <w:tab w:val="left" w:pos="900"/>
          <w:tab w:val="left" w:pos="1260"/>
          <w:tab w:val="left" w:pos="5580"/>
          <w:tab w:val="left" w:pos="6120"/>
        </w:tabs>
        <w:ind w:right="-2"/>
        <w:jc w:val="both"/>
        <w:rPr>
          <w:rFonts w:ascii="Calibri" w:hAnsi="Calibri" w:cs="Calibri"/>
          <w:sz w:val="22"/>
          <w:szCs w:val="22"/>
        </w:rPr>
      </w:pPr>
    </w:p>
    <w:p w14:paraId="310C91E3" w14:textId="77777777" w:rsidR="0091416E" w:rsidRPr="00777439" w:rsidRDefault="0091416E"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4A457965" w14:textId="40E0A07B" w:rsidR="00134010" w:rsidRPr="00777439" w:rsidRDefault="0013401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04797544" w14:textId="77777777" w:rsidR="00F33005" w:rsidRPr="00777439" w:rsidRDefault="00F33005"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664EFFEA" w14:textId="77777777" w:rsidR="005A6420" w:rsidRPr="00777439" w:rsidRDefault="005A642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11CB7BD8" w:rsidR="00783E6E" w:rsidRPr="00777439" w:rsidRDefault="00952E48" w:rsidP="00D27A1C">
      <w:pPr>
        <w:tabs>
          <w:tab w:val="left" w:pos="720"/>
          <w:tab w:val="left" w:pos="900"/>
          <w:tab w:val="left" w:pos="1260"/>
          <w:tab w:val="left" w:pos="5580"/>
          <w:tab w:val="left" w:pos="6120"/>
        </w:tabs>
        <w:ind w:left="142" w:right="-2"/>
        <w:jc w:val="right"/>
        <w:rPr>
          <w:rFonts w:ascii="Calibri" w:hAnsi="Calibri" w:cs="Calibri"/>
          <w:sz w:val="22"/>
          <w:szCs w:val="22"/>
        </w:rPr>
      </w:pPr>
      <w:r w:rsidRPr="00A00EBE">
        <w:rPr>
          <w:rFonts w:ascii="Calibri" w:hAnsi="Calibri" w:cs="Calibri"/>
          <w:sz w:val="22"/>
          <w:szCs w:val="22"/>
        </w:rPr>
        <w:t xml:space="preserve">Pubblicato il </w:t>
      </w:r>
      <w:r w:rsidR="00812C76">
        <w:rPr>
          <w:rFonts w:ascii="Calibri" w:hAnsi="Calibri" w:cs="Calibri"/>
          <w:sz w:val="22"/>
          <w:szCs w:val="22"/>
        </w:rPr>
        <w:t>2</w:t>
      </w:r>
      <w:r w:rsidR="00BE3C2A">
        <w:rPr>
          <w:rFonts w:ascii="Calibri" w:hAnsi="Calibri" w:cs="Calibri"/>
          <w:sz w:val="22"/>
          <w:szCs w:val="22"/>
        </w:rPr>
        <w:t>7</w:t>
      </w:r>
      <w:r w:rsidR="00A66B46" w:rsidRPr="00A00EBE">
        <w:rPr>
          <w:rFonts w:ascii="Calibri" w:hAnsi="Calibri" w:cs="Calibri"/>
          <w:sz w:val="22"/>
          <w:szCs w:val="22"/>
        </w:rPr>
        <w:t>/0</w:t>
      </w:r>
      <w:r w:rsidR="00EE4876">
        <w:rPr>
          <w:rFonts w:ascii="Calibri" w:hAnsi="Calibri" w:cs="Calibri"/>
          <w:sz w:val="22"/>
          <w:szCs w:val="22"/>
        </w:rPr>
        <w:t>4</w:t>
      </w:r>
      <w:r w:rsidR="00A66B46" w:rsidRPr="00A00EBE">
        <w:rPr>
          <w:rFonts w:ascii="Calibri" w:hAnsi="Calibri" w:cs="Calibri"/>
          <w:sz w:val="22"/>
          <w:szCs w:val="22"/>
        </w:rPr>
        <w:t>/2020</w:t>
      </w:r>
    </w:p>
    <w:sectPr w:rsidR="00783E6E" w:rsidRPr="00777439" w:rsidSect="004E62C8">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47BCA" w14:textId="77777777" w:rsidR="00262647" w:rsidRDefault="00262647">
      <w:r>
        <w:separator/>
      </w:r>
    </w:p>
  </w:endnote>
  <w:endnote w:type="continuationSeparator" w:id="0">
    <w:p w14:paraId="632ED746" w14:textId="77777777" w:rsidR="00262647" w:rsidRDefault="0026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71136" w14:textId="77777777" w:rsidR="00262647" w:rsidRDefault="00262647">
      <w:r>
        <w:separator/>
      </w:r>
    </w:p>
  </w:footnote>
  <w:footnote w:type="continuationSeparator" w:id="0">
    <w:p w14:paraId="1109D343" w14:textId="77777777" w:rsidR="00262647" w:rsidRDefault="0026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262647">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0.8pt;height:39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0"/>
  </w:num>
  <w:num w:numId="5">
    <w:abstractNumId w:val="2"/>
  </w:num>
  <w:num w:numId="6">
    <w:abstractNumId w:val="11"/>
  </w:num>
  <w:num w:numId="7">
    <w:abstractNumId w:val="14"/>
  </w:num>
  <w:num w:numId="8">
    <w:abstractNumId w:val="22"/>
  </w:num>
  <w:num w:numId="9">
    <w:abstractNumId w:val="25"/>
  </w:num>
  <w:num w:numId="10">
    <w:abstractNumId w:val="21"/>
  </w:num>
  <w:num w:numId="11">
    <w:abstractNumId w:val="12"/>
  </w:num>
  <w:num w:numId="12">
    <w:abstractNumId w:val="20"/>
  </w:num>
  <w:num w:numId="13">
    <w:abstractNumId w:val="5"/>
  </w:num>
  <w:num w:numId="14">
    <w:abstractNumId w:val="9"/>
  </w:num>
  <w:num w:numId="15">
    <w:abstractNumId w:val="0"/>
  </w:num>
  <w:num w:numId="16">
    <w:abstractNumId w:val="3"/>
  </w:num>
  <w:num w:numId="17">
    <w:abstractNumId w:val="16"/>
  </w:num>
  <w:num w:numId="18">
    <w:abstractNumId w:val="1"/>
  </w:num>
  <w:num w:numId="19">
    <w:abstractNumId w:val="23"/>
  </w:num>
  <w:num w:numId="20">
    <w:abstractNumId w:val="17"/>
  </w:num>
  <w:num w:numId="21">
    <w:abstractNumId w:val="7"/>
  </w:num>
  <w:num w:numId="22">
    <w:abstractNumId w:val="24"/>
  </w:num>
  <w:num w:numId="23">
    <w:abstractNumId w:val="13"/>
  </w:num>
  <w:num w:numId="24">
    <w:abstractNumId w:val="8"/>
  </w:num>
  <w:num w:numId="25">
    <w:abstractNumId w:val="4"/>
  </w:num>
  <w:num w:numId="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14F9"/>
    <w:rsid w:val="000625BE"/>
    <w:rsid w:val="000637F2"/>
    <w:rsid w:val="00080ADD"/>
    <w:rsid w:val="00086200"/>
    <w:rsid w:val="00087150"/>
    <w:rsid w:val="0009085F"/>
    <w:rsid w:val="000B06C6"/>
    <w:rsid w:val="000B2103"/>
    <w:rsid w:val="000C53BB"/>
    <w:rsid w:val="000D0123"/>
    <w:rsid w:val="000D36C6"/>
    <w:rsid w:val="000D4668"/>
    <w:rsid w:val="000D4ADA"/>
    <w:rsid w:val="000E38C9"/>
    <w:rsid w:val="000E6DB1"/>
    <w:rsid w:val="00100C48"/>
    <w:rsid w:val="0010566D"/>
    <w:rsid w:val="00126D4F"/>
    <w:rsid w:val="001311CA"/>
    <w:rsid w:val="00134010"/>
    <w:rsid w:val="00136808"/>
    <w:rsid w:val="00151B1D"/>
    <w:rsid w:val="00151BDD"/>
    <w:rsid w:val="00160F19"/>
    <w:rsid w:val="001674E2"/>
    <w:rsid w:val="00172666"/>
    <w:rsid w:val="00181F9E"/>
    <w:rsid w:val="001867E9"/>
    <w:rsid w:val="001A0EA6"/>
    <w:rsid w:val="001A46F2"/>
    <w:rsid w:val="001A61DB"/>
    <w:rsid w:val="001B0373"/>
    <w:rsid w:val="001B1366"/>
    <w:rsid w:val="001C016B"/>
    <w:rsid w:val="001C5C73"/>
    <w:rsid w:val="001D46AD"/>
    <w:rsid w:val="001D783D"/>
    <w:rsid w:val="001D7F3D"/>
    <w:rsid w:val="001E0909"/>
    <w:rsid w:val="001E1A02"/>
    <w:rsid w:val="001E720B"/>
    <w:rsid w:val="001F202A"/>
    <w:rsid w:val="001F48AB"/>
    <w:rsid w:val="0020292B"/>
    <w:rsid w:val="00206722"/>
    <w:rsid w:val="00210ED4"/>
    <w:rsid w:val="002113BA"/>
    <w:rsid w:val="002166C4"/>
    <w:rsid w:val="0022540F"/>
    <w:rsid w:val="00230989"/>
    <w:rsid w:val="002375D8"/>
    <w:rsid w:val="00237B46"/>
    <w:rsid w:val="00242295"/>
    <w:rsid w:val="00254095"/>
    <w:rsid w:val="00262647"/>
    <w:rsid w:val="002650B4"/>
    <w:rsid w:val="002655A5"/>
    <w:rsid w:val="00265FD1"/>
    <w:rsid w:val="00267F8E"/>
    <w:rsid w:val="0027190F"/>
    <w:rsid w:val="00271FB0"/>
    <w:rsid w:val="0027421E"/>
    <w:rsid w:val="002743DA"/>
    <w:rsid w:val="002905C3"/>
    <w:rsid w:val="00293463"/>
    <w:rsid w:val="00297F87"/>
    <w:rsid w:val="002A6DFD"/>
    <w:rsid w:val="002B7EEB"/>
    <w:rsid w:val="002D246E"/>
    <w:rsid w:val="002D2B28"/>
    <w:rsid w:val="002E4047"/>
    <w:rsid w:val="00300CDB"/>
    <w:rsid w:val="00306EA7"/>
    <w:rsid w:val="003114C4"/>
    <w:rsid w:val="00322EE8"/>
    <w:rsid w:val="00326815"/>
    <w:rsid w:val="003347DC"/>
    <w:rsid w:val="0034265F"/>
    <w:rsid w:val="00363BF8"/>
    <w:rsid w:val="00377E37"/>
    <w:rsid w:val="00385BAE"/>
    <w:rsid w:val="003944BF"/>
    <w:rsid w:val="00395392"/>
    <w:rsid w:val="003A759E"/>
    <w:rsid w:val="003B6D95"/>
    <w:rsid w:val="003B7ED2"/>
    <w:rsid w:val="003C19FB"/>
    <w:rsid w:val="003E5874"/>
    <w:rsid w:val="0041047E"/>
    <w:rsid w:val="0041177C"/>
    <w:rsid w:val="0042052A"/>
    <w:rsid w:val="004353E3"/>
    <w:rsid w:val="004414A4"/>
    <w:rsid w:val="00442812"/>
    <w:rsid w:val="004435C3"/>
    <w:rsid w:val="00445DF1"/>
    <w:rsid w:val="00454209"/>
    <w:rsid w:val="00465747"/>
    <w:rsid w:val="00472D2B"/>
    <w:rsid w:val="00474ADE"/>
    <w:rsid w:val="00483E55"/>
    <w:rsid w:val="004A2213"/>
    <w:rsid w:val="004A43B9"/>
    <w:rsid w:val="004A5095"/>
    <w:rsid w:val="004B0EF1"/>
    <w:rsid w:val="004B5C7B"/>
    <w:rsid w:val="004B691C"/>
    <w:rsid w:val="004C1CE6"/>
    <w:rsid w:val="004C2CC8"/>
    <w:rsid w:val="004D48E8"/>
    <w:rsid w:val="004D4957"/>
    <w:rsid w:val="004E0C94"/>
    <w:rsid w:val="004E62C8"/>
    <w:rsid w:val="004F2D22"/>
    <w:rsid w:val="00517FCD"/>
    <w:rsid w:val="00520F32"/>
    <w:rsid w:val="0053112D"/>
    <w:rsid w:val="00531CA4"/>
    <w:rsid w:val="00532215"/>
    <w:rsid w:val="00532542"/>
    <w:rsid w:val="00546306"/>
    <w:rsid w:val="00552D0E"/>
    <w:rsid w:val="005615FE"/>
    <w:rsid w:val="00565BA4"/>
    <w:rsid w:val="00570DF9"/>
    <w:rsid w:val="00571AA5"/>
    <w:rsid w:val="00580D22"/>
    <w:rsid w:val="005952A0"/>
    <w:rsid w:val="005A2FBD"/>
    <w:rsid w:val="005A6420"/>
    <w:rsid w:val="005A68AC"/>
    <w:rsid w:val="005B68CD"/>
    <w:rsid w:val="005C488C"/>
    <w:rsid w:val="005D2783"/>
    <w:rsid w:val="005D58C7"/>
    <w:rsid w:val="005E05F4"/>
    <w:rsid w:val="005E29D1"/>
    <w:rsid w:val="005E2A6A"/>
    <w:rsid w:val="005E5E6F"/>
    <w:rsid w:val="005E694F"/>
    <w:rsid w:val="005F136F"/>
    <w:rsid w:val="00600B26"/>
    <w:rsid w:val="00606C5A"/>
    <w:rsid w:val="0061424A"/>
    <w:rsid w:val="00617528"/>
    <w:rsid w:val="00633A04"/>
    <w:rsid w:val="00635558"/>
    <w:rsid w:val="006370DF"/>
    <w:rsid w:val="006411A6"/>
    <w:rsid w:val="006411DF"/>
    <w:rsid w:val="00654840"/>
    <w:rsid w:val="00662EE8"/>
    <w:rsid w:val="00673C44"/>
    <w:rsid w:val="00684F34"/>
    <w:rsid w:val="00686CD4"/>
    <w:rsid w:val="0069445C"/>
    <w:rsid w:val="00696623"/>
    <w:rsid w:val="006A2CD6"/>
    <w:rsid w:val="006C0F54"/>
    <w:rsid w:val="006C5530"/>
    <w:rsid w:val="006C6827"/>
    <w:rsid w:val="006D0A9E"/>
    <w:rsid w:val="006D187D"/>
    <w:rsid w:val="006E4E22"/>
    <w:rsid w:val="006E64CC"/>
    <w:rsid w:val="006E71D6"/>
    <w:rsid w:val="006F3D2C"/>
    <w:rsid w:val="006F4A89"/>
    <w:rsid w:val="007006D5"/>
    <w:rsid w:val="00706997"/>
    <w:rsid w:val="00710780"/>
    <w:rsid w:val="007120A3"/>
    <w:rsid w:val="007212D6"/>
    <w:rsid w:val="00721719"/>
    <w:rsid w:val="007248A8"/>
    <w:rsid w:val="00724906"/>
    <w:rsid w:val="007268E0"/>
    <w:rsid w:val="007278BF"/>
    <w:rsid w:val="00727E86"/>
    <w:rsid w:val="00730857"/>
    <w:rsid w:val="007336E8"/>
    <w:rsid w:val="00744DE8"/>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200"/>
    <w:rsid w:val="007F7D2A"/>
    <w:rsid w:val="008009D5"/>
    <w:rsid w:val="00801AE3"/>
    <w:rsid w:val="0080382C"/>
    <w:rsid w:val="008050CE"/>
    <w:rsid w:val="00812C76"/>
    <w:rsid w:val="00814B6A"/>
    <w:rsid w:val="0082055D"/>
    <w:rsid w:val="00827AA4"/>
    <w:rsid w:val="0083206A"/>
    <w:rsid w:val="008324D4"/>
    <w:rsid w:val="00842CAC"/>
    <w:rsid w:val="00846546"/>
    <w:rsid w:val="0089242A"/>
    <w:rsid w:val="00895D5A"/>
    <w:rsid w:val="008B5620"/>
    <w:rsid w:val="008C21F3"/>
    <w:rsid w:val="008C6FB9"/>
    <w:rsid w:val="008D047B"/>
    <w:rsid w:val="008E4D83"/>
    <w:rsid w:val="008F7F3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A181B"/>
    <w:rsid w:val="009A600B"/>
    <w:rsid w:val="009B370B"/>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2167"/>
    <w:rsid w:val="00A029FA"/>
    <w:rsid w:val="00A100C9"/>
    <w:rsid w:val="00A108C5"/>
    <w:rsid w:val="00A12007"/>
    <w:rsid w:val="00A2160D"/>
    <w:rsid w:val="00A238E8"/>
    <w:rsid w:val="00A24ACC"/>
    <w:rsid w:val="00A27F82"/>
    <w:rsid w:val="00A35E9C"/>
    <w:rsid w:val="00A421FD"/>
    <w:rsid w:val="00A554C8"/>
    <w:rsid w:val="00A5706E"/>
    <w:rsid w:val="00A60F3E"/>
    <w:rsid w:val="00A65A7B"/>
    <w:rsid w:val="00A66B46"/>
    <w:rsid w:val="00A72245"/>
    <w:rsid w:val="00A7325D"/>
    <w:rsid w:val="00A874BE"/>
    <w:rsid w:val="00A92403"/>
    <w:rsid w:val="00AA755B"/>
    <w:rsid w:val="00AA7A03"/>
    <w:rsid w:val="00AB5961"/>
    <w:rsid w:val="00AC09F6"/>
    <w:rsid w:val="00AC0DA4"/>
    <w:rsid w:val="00AC363E"/>
    <w:rsid w:val="00AD53C0"/>
    <w:rsid w:val="00AD6736"/>
    <w:rsid w:val="00AE4116"/>
    <w:rsid w:val="00AE484B"/>
    <w:rsid w:val="00AE7C4C"/>
    <w:rsid w:val="00AF1207"/>
    <w:rsid w:val="00AF303A"/>
    <w:rsid w:val="00AF4404"/>
    <w:rsid w:val="00AF4D79"/>
    <w:rsid w:val="00AF6300"/>
    <w:rsid w:val="00B1385A"/>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C0691"/>
    <w:rsid w:val="00BC32D4"/>
    <w:rsid w:val="00BC4801"/>
    <w:rsid w:val="00BD0AB9"/>
    <w:rsid w:val="00BD3C2C"/>
    <w:rsid w:val="00BD60DB"/>
    <w:rsid w:val="00BE3C2A"/>
    <w:rsid w:val="00C10A7A"/>
    <w:rsid w:val="00C13B4C"/>
    <w:rsid w:val="00C24A9A"/>
    <w:rsid w:val="00C27714"/>
    <w:rsid w:val="00C433AC"/>
    <w:rsid w:val="00C46AA6"/>
    <w:rsid w:val="00C6046C"/>
    <w:rsid w:val="00C61BF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D2F0A"/>
    <w:rsid w:val="00CD4A8E"/>
    <w:rsid w:val="00CF2B9F"/>
    <w:rsid w:val="00D05B8F"/>
    <w:rsid w:val="00D06063"/>
    <w:rsid w:val="00D102CD"/>
    <w:rsid w:val="00D12686"/>
    <w:rsid w:val="00D12E1E"/>
    <w:rsid w:val="00D13CAB"/>
    <w:rsid w:val="00D2250C"/>
    <w:rsid w:val="00D24A1C"/>
    <w:rsid w:val="00D25CF8"/>
    <w:rsid w:val="00D27A1C"/>
    <w:rsid w:val="00D30E39"/>
    <w:rsid w:val="00D327D9"/>
    <w:rsid w:val="00D32FC7"/>
    <w:rsid w:val="00D35077"/>
    <w:rsid w:val="00D403FB"/>
    <w:rsid w:val="00D46D8F"/>
    <w:rsid w:val="00D50F2A"/>
    <w:rsid w:val="00D54D0D"/>
    <w:rsid w:val="00D551CF"/>
    <w:rsid w:val="00D66BBB"/>
    <w:rsid w:val="00D70745"/>
    <w:rsid w:val="00D71FF5"/>
    <w:rsid w:val="00D74092"/>
    <w:rsid w:val="00D77E54"/>
    <w:rsid w:val="00DA26BC"/>
    <w:rsid w:val="00DA4273"/>
    <w:rsid w:val="00DA5995"/>
    <w:rsid w:val="00DB3985"/>
    <w:rsid w:val="00DB4953"/>
    <w:rsid w:val="00DC0ED4"/>
    <w:rsid w:val="00DC7F97"/>
    <w:rsid w:val="00DD019F"/>
    <w:rsid w:val="00DF5163"/>
    <w:rsid w:val="00DF7579"/>
    <w:rsid w:val="00E00F2C"/>
    <w:rsid w:val="00E07BDC"/>
    <w:rsid w:val="00E20570"/>
    <w:rsid w:val="00E209CB"/>
    <w:rsid w:val="00E25D34"/>
    <w:rsid w:val="00E273B4"/>
    <w:rsid w:val="00E31E8B"/>
    <w:rsid w:val="00E36D39"/>
    <w:rsid w:val="00E44B8E"/>
    <w:rsid w:val="00E47D5B"/>
    <w:rsid w:val="00E5260E"/>
    <w:rsid w:val="00E56C4C"/>
    <w:rsid w:val="00E71CEB"/>
    <w:rsid w:val="00E74979"/>
    <w:rsid w:val="00E8356D"/>
    <w:rsid w:val="00E906B5"/>
    <w:rsid w:val="00E909DF"/>
    <w:rsid w:val="00EA4465"/>
    <w:rsid w:val="00EB1B2C"/>
    <w:rsid w:val="00EB5F34"/>
    <w:rsid w:val="00EB6196"/>
    <w:rsid w:val="00EC0D5D"/>
    <w:rsid w:val="00EC3D1F"/>
    <w:rsid w:val="00ED1726"/>
    <w:rsid w:val="00ED2018"/>
    <w:rsid w:val="00ED2B9F"/>
    <w:rsid w:val="00ED6E2C"/>
    <w:rsid w:val="00ED7B1E"/>
    <w:rsid w:val="00EE18FB"/>
    <w:rsid w:val="00EE4876"/>
    <w:rsid w:val="00EF69AE"/>
    <w:rsid w:val="00F15475"/>
    <w:rsid w:val="00F169DE"/>
    <w:rsid w:val="00F23D65"/>
    <w:rsid w:val="00F31A89"/>
    <w:rsid w:val="00F32A75"/>
    <w:rsid w:val="00F33005"/>
    <w:rsid w:val="00F4051C"/>
    <w:rsid w:val="00F4663F"/>
    <w:rsid w:val="00F51DA0"/>
    <w:rsid w:val="00F52882"/>
    <w:rsid w:val="00F53831"/>
    <w:rsid w:val="00F53938"/>
    <w:rsid w:val="00F53F66"/>
    <w:rsid w:val="00F60480"/>
    <w:rsid w:val="00F623AC"/>
    <w:rsid w:val="00F804E0"/>
    <w:rsid w:val="00F80976"/>
    <w:rsid w:val="00F81262"/>
    <w:rsid w:val="00F81771"/>
    <w:rsid w:val="00F9163B"/>
    <w:rsid w:val="00F920E8"/>
    <w:rsid w:val="00F94CCF"/>
    <w:rsid w:val="00FA4B03"/>
    <w:rsid w:val="00FA52B2"/>
    <w:rsid w:val="00FC5166"/>
    <w:rsid w:val="00FC53D5"/>
    <w:rsid w:val="00FC6664"/>
    <w:rsid w:val="00FD401E"/>
    <w:rsid w:val="00FD4772"/>
    <w:rsid w:val="00FE3CA4"/>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naroli@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tagnino@confindustria.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cini@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143</TotalTime>
  <Pages>2</Pages>
  <Words>1008</Words>
  <Characters>5748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6743</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hp</cp:lastModifiedBy>
  <cp:revision>28</cp:revision>
  <cp:lastPrinted>2019-02-27T17:41:00Z</cp:lastPrinted>
  <dcterms:created xsi:type="dcterms:W3CDTF">2020-03-10T08:33:00Z</dcterms:created>
  <dcterms:modified xsi:type="dcterms:W3CDTF">2020-04-27T09:04:00Z</dcterms:modified>
</cp:coreProperties>
</file>