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5D348" w14:textId="77777777"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14:paraId="379746F3" w14:textId="77777777"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189B14B" w14:textId="77777777"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5A635BFE"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7B9B4D92" wp14:editId="0FFBC590">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30CCFFA2" w14:textId="77777777" w:rsidR="0081515F" w:rsidRPr="006E06AE" w:rsidRDefault="0081515F" w:rsidP="0081515F">
      <w:pPr>
        <w:pStyle w:val="Default"/>
        <w:jc w:val="right"/>
        <w:rPr>
          <w:rFonts w:ascii="Arial" w:hAnsi="Arial" w:cs="Arial"/>
          <w:b/>
          <w:bCs/>
          <w:i/>
          <w:iCs/>
          <w:sz w:val="20"/>
          <w:szCs w:val="20"/>
        </w:rPr>
      </w:pPr>
    </w:p>
    <w:p w14:paraId="4377B3F5" w14:textId="77777777" w:rsidR="0081515F" w:rsidRPr="006E06AE" w:rsidRDefault="0081515F" w:rsidP="0081515F">
      <w:pPr>
        <w:pStyle w:val="Default"/>
        <w:jc w:val="center"/>
        <w:rPr>
          <w:rFonts w:ascii="Arial" w:hAnsi="Arial" w:cs="Arial"/>
          <w:b/>
          <w:bCs/>
          <w:iCs/>
          <w:sz w:val="20"/>
          <w:szCs w:val="20"/>
        </w:rPr>
      </w:pPr>
    </w:p>
    <w:p w14:paraId="623F8A21"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3AA302CF" w14:textId="77777777"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1AAF8B7B" w14:textId="77777777"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5B869DB6"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48D6F1F7" wp14:editId="790D6399">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65D3984" w14:textId="77777777"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 xml:space="preserve">(denominazione e ragione </w:t>
      </w:r>
      <w:proofErr w:type="gramStart"/>
      <w:r w:rsidR="0081515F" w:rsidRPr="006E06AE">
        <w:rPr>
          <w:rFonts w:ascii="Arial" w:hAnsi="Arial" w:cs="Arial"/>
          <w:i/>
          <w:iCs/>
          <w:sz w:val="20"/>
          <w:szCs w:val="20"/>
        </w:rPr>
        <w:t>sociale)…</w:t>
      </w:r>
      <w:proofErr w:type="gramEnd"/>
      <w:r w:rsidR="0081515F" w:rsidRPr="006E06AE">
        <w:rPr>
          <w:rFonts w:ascii="Arial" w:hAnsi="Arial" w:cs="Arial"/>
          <w:i/>
          <w:iCs/>
          <w:sz w:val="20"/>
          <w:szCs w:val="20"/>
        </w:rPr>
        <w:t>……………………………</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11B2E0BE" wp14:editId="16648BC1">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51745418" w14:textId="77777777"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2A521D77" wp14:editId="2B413A78">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proofErr w:type="gramStart"/>
      <w:r>
        <w:rPr>
          <w:rFonts w:ascii="Arial" w:hAnsi="Arial" w:cs="Arial"/>
          <w:sz w:val="20"/>
          <w:szCs w:val="20"/>
        </w:rPr>
        <w:t>……</w:t>
      </w:r>
      <w:r w:rsidR="006C2BF9">
        <w:rPr>
          <w:rFonts w:ascii="Arial" w:hAnsi="Arial" w:cs="Arial"/>
          <w:sz w:val="20"/>
          <w:szCs w:val="20"/>
        </w:rPr>
        <w:t>.</w:t>
      </w:r>
      <w:proofErr w:type="gramEnd"/>
      <w:r w:rsidR="006C2BF9">
        <w:rPr>
          <w:rFonts w:ascii="Arial" w:hAnsi="Arial" w:cs="Arial"/>
          <w:sz w:val="20"/>
          <w:szCs w:val="20"/>
        </w:rPr>
        <w:t>.</w:t>
      </w:r>
    </w:p>
    <w:p w14:paraId="76CB0012" w14:textId="77777777"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81515F" w:rsidRPr="006E06AE" w14:paraId="4144046E" w14:textId="77777777" w:rsidTr="00820692">
        <w:trPr>
          <w:trHeight w:val="14073"/>
        </w:trPr>
        <w:tc>
          <w:tcPr>
            <w:tcW w:w="11057" w:type="dxa"/>
            <w:shd w:val="clear" w:color="auto" w:fill="auto"/>
          </w:tcPr>
          <w:p w14:paraId="64CEAD32" w14:textId="77777777"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67D73E57" w14:textId="77777777"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477F6E04" w14:textId="77777777"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7EAC6432" w14:textId="77777777"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368CBCB7" w14:textId="77777777"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50307758" w14:textId="77777777"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6E5F5404"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5A27109E"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7B55E48" w14:textId="77777777"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73EEC4AC"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29FBF67E"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422C0AED"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2EAC070E" w14:textId="77777777" w:rsidR="006E262C" w:rsidRPr="00444CAA" w:rsidRDefault="006E262C" w:rsidP="006E262C">
            <w:pPr>
              <w:pStyle w:val="Default"/>
            </w:pPr>
          </w:p>
          <w:p w14:paraId="18977F93" w14:textId="77777777"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0705FBEE" w14:textId="77777777"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14:paraId="0B9E7E8E" w14:textId="77777777"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w:t>
            </w:r>
            <w:proofErr w:type="gramStart"/>
            <w:r w:rsidR="00EE2D42" w:rsidRPr="00444CAA">
              <w:rPr>
                <w:rFonts w:ascii="Arial" w:hAnsi="Arial" w:cs="Arial"/>
                <w:sz w:val="20"/>
                <w:szCs w:val="20"/>
              </w:rPr>
              <w:t>…….</w:t>
            </w:r>
            <w:proofErr w:type="gramEnd"/>
            <w:r w:rsidR="00EE2D42" w:rsidRPr="00444CAA">
              <w:rPr>
                <w:rFonts w:ascii="Arial" w:hAnsi="Arial" w:cs="Arial"/>
                <w:sz w:val="20"/>
                <w:szCs w:val="20"/>
              </w:rPr>
              <w:t>. (inserire codice di classificazione ATECO 2007)</w:t>
            </w:r>
          </w:p>
          <w:p w14:paraId="5A69BDB0"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259EFA4E"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5EF5555B"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04D867CB" w14:textId="77777777"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7D128127" w14:textId="77777777"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w:t>
            </w:r>
            <w:proofErr w:type="gramStart"/>
            <w:r w:rsidR="006E262C" w:rsidRPr="00444CAA">
              <w:rPr>
                <w:rFonts w:ascii="Arial" w:hAnsi="Arial" w:cs="Arial"/>
                <w:bCs/>
                <w:iCs/>
                <w:sz w:val="20"/>
                <w:szCs w:val="20"/>
              </w:rPr>
              <w:t xml:space="preserve"> ….</w:t>
            </w:r>
            <w:proofErr w:type="gramEnd"/>
            <w:r w:rsidR="006E262C" w:rsidRPr="00444CAA">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49F1AE07"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57AE1BEE" w14:textId="7777777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4D726E0D" w14:textId="77777777"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9F4B47A" w14:textId="77777777"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7BBC784B" w14:textId="77777777"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roofErr w:type="gramStart"/>
            <w:r w:rsidRPr="00444CAA">
              <w:rPr>
                <w:rFonts w:ascii="Arial" w:hAnsi="Arial" w:cs="Arial"/>
                <w:bCs/>
                <w:iCs/>
                <w:sz w:val="20"/>
                <w:szCs w:val="20"/>
              </w:rPr>
              <w:t>):…</w:t>
            </w:r>
            <w:proofErr w:type="gramEnd"/>
            <w:r w:rsidRPr="00444CAA">
              <w:rPr>
                <w:rFonts w:ascii="Arial" w:hAnsi="Arial" w:cs="Arial"/>
                <w:bCs/>
                <w:iCs/>
                <w:sz w:val="20"/>
                <w:szCs w:val="20"/>
              </w:rPr>
              <w:t>…………….………</w:t>
            </w:r>
          </w:p>
          <w:p w14:paraId="085FDC7F" w14:textId="77777777"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609AA25E" w14:textId="77777777"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2753CCC3" w14:textId="77777777"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49"/>
              <w:gridCol w:w="2319"/>
            </w:tblGrid>
            <w:tr w:rsidR="00D2092B" w:rsidRPr="00444CAA" w14:paraId="622C6D0B" w14:textId="77777777" w:rsidTr="00820692">
              <w:trPr>
                <w:trHeight w:val="455"/>
                <w:jc w:val="center"/>
              </w:trPr>
              <w:tc>
                <w:tcPr>
                  <w:tcW w:w="4164" w:type="pct"/>
                  <w:vAlign w:val="center"/>
                </w:tcPr>
                <w:p w14:paraId="54E31BCC" w14:textId="77777777"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27AE3B7A"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6D9017AA" w14:textId="77777777" w:rsidTr="00820692">
              <w:trPr>
                <w:trHeight w:val="220"/>
                <w:jc w:val="center"/>
              </w:trPr>
              <w:tc>
                <w:tcPr>
                  <w:tcW w:w="4164" w:type="pct"/>
                  <w:vAlign w:val="center"/>
                </w:tcPr>
                <w:p w14:paraId="5D6021E6"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4C016BC4"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006CD814" wp14:editId="6AAA198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AA16A72" wp14:editId="3D7D4AAA">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515C9AAC" w14:textId="77777777" w:rsidTr="00820692">
              <w:trPr>
                <w:trHeight w:val="220"/>
                <w:jc w:val="center"/>
              </w:trPr>
              <w:tc>
                <w:tcPr>
                  <w:tcW w:w="4164" w:type="pct"/>
                  <w:vAlign w:val="center"/>
                </w:tcPr>
                <w:p w14:paraId="4BE8D050"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3D8C7B22"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0AA63EE4" wp14:editId="26C77038">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4C28E172" wp14:editId="575DA8BB">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535E67EA" w14:textId="77777777" w:rsidTr="00820692">
              <w:trPr>
                <w:trHeight w:val="235"/>
                <w:jc w:val="center"/>
              </w:trPr>
              <w:tc>
                <w:tcPr>
                  <w:tcW w:w="4164" w:type="pct"/>
                  <w:vAlign w:val="center"/>
                </w:tcPr>
                <w:p w14:paraId="68A691B9"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9314CDC"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F1EF15D" wp14:editId="211E580D">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424A757" wp14:editId="2D348C6C">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573E4898" w14:textId="77777777" w:rsidTr="00820692">
              <w:trPr>
                <w:trHeight w:val="352"/>
                <w:jc w:val="center"/>
              </w:trPr>
              <w:tc>
                <w:tcPr>
                  <w:tcW w:w="4164" w:type="pct"/>
                  <w:vAlign w:val="center"/>
                </w:tcPr>
                <w:p w14:paraId="67C56D99" w14:textId="77777777"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1C0A6E83"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53FBE094" wp14:editId="00E36357">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E669E5A" wp14:editId="31D5C0CF">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0B73C11E" w14:textId="77777777"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 xml:space="preserve">Nei casi di cessione o affitto di azienda con prosecuzione della medesima attività si considera altresì l’ammontare dei ricavi risultante </w:t>
            </w:r>
            <w:r w:rsidRPr="00F110E1">
              <w:rPr>
                <w:rFonts w:ascii="Arial" w:hAnsi="Arial" w:cs="Arial"/>
                <w:sz w:val="16"/>
                <w:szCs w:val="16"/>
              </w:rPr>
              <w:lastRenderedPageBreak/>
              <w:t>dall’ultima dichiarazione dei redditi o dall’ultimo bilancio depositato dal cedente o dal locatore</w:t>
            </w:r>
          </w:p>
          <w:p w14:paraId="72C463D4" w14:textId="77777777"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14:paraId="7336A43D" w14:textId="77777777"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1247AB7A"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628A2FC6"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70528992" wp14:editId="2974895C">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6A57B191" w14:textId="77777777" w:rsidR="0081515F" w:rsidRPr="00444CAA" w:rsidRDefault="0081515F" w:rsidP="00AD75E6">
            <w:pPr>
              <w:pStyle w:val="Default"/>
            </w:pPr>
          </w:p>
        </w:tc>
      </w:tr>
    </w:tbl>
    <w:p w14:paraId="696ADA5B" w14:textId="77777777"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21479D62" w14:textId="77777777" w:rsidTr="00883E5E">
        <w:trPr>
          <w:trHeight w:val="5444"/>
        </w:trPr>
        <w:tc>
          <w:tcPr>
            <w:tcW w:w="10870" w:type="dxa"/>
            <w:tcBorders>
              <w:bottom w:val="single" w:sz="4" w:space="0" w:color="auto"/>
            </w:tcBorders>
            <w:shd w:val="clear" w:color="auto" w:fill="auto"/>
          </w:tcPr>
          <w:p w14:paraId="4347D290" w14:textId="77777777"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3565C1AB" w14:textId="77777777"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1BC3916B" w14:textId="77777777"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8AE769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1809161E"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2FA22F67"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7C01463A"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57F007AB"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2E631AD7"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2B097D47"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617D819"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BC9FF9C"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0F5FFD49"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70848580"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2702713E"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23BF272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774EA00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1E5EB6C4" w14:textId="77777777"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32963EE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48F87C50"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1E059F73"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C5D2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6331A586"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02A7E70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56360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C649A5E"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4A82EC7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6E67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2B4AE36"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88C29E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3160E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655F8F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58C2C549" w14:textId="77777777"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43175870" w14:textId="7777777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032CD929"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71A88F22" w14:textId="77777777"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6A88125F" w14:textId="77777777"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135ACA5" w14:textId="77777777"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3239D2D6"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6A93BB9B"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40911A1C"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9A38BE0"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6939CA08"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F5A3A00"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6FFF2B"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A9D077D"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5350B6B"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3F03ECE0"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14A3218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149C47B"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603825F"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FAD284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50EE838E" w14:textId="77777777" w:rsidR="00AD4076" w:rsidRPr="006E06AE" w:rsidRDefault="00AD4076" w:rsidP="00AD4076">
                  <w:pPr>
                    <w:spacing w:after="0" w:line="240" w:lineRule="auto"/>
                    <w:rPr>
                      <w:color w:val="000000"/>
                    </w:rPr>
                  </w:pPr>
                  <w:r w:rsidRPr="006E06AE">
                    <w:rPr>
                      <w:color w:val="000000"/>
                    </w:rPr>
                    <w:t> </w:t>
                  </w:r>
                </w:p>
              </w:tc>
            </w:tr>
          </w:tbl>
          <w:p w14:paraId="690880E0"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064507C4" w14:textId="77777777" w:rsidR="0081515F" w:rsidRPr="006E06AE" w:rsidRDefault="0081515F" w:rsidP="00883E5E">
            <w:pPr>
              <w:pStyle w:val="CM8"/>
              <w:spacing w:line="276" w:lineRule="auto"/>
              <w:ind w:left="7788" w:hanging="7787"/>
            </w:pPr>
          </w:p>
        </w:tc>
      </w:tr>
      <w:tr w:rsidR="00883E5E" w:rsidRPr="006E06AE" w14:paraId="036BB745"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536D6E66"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283128EE" w14:textId="77777777"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2440D262"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FBFF31"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E79AE4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7D1FAB76"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01D916"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38F1E75A"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334530A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69338B"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EEB150A"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7B930DA7"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7FB2E8"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64FF5634"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329B069F"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59D3AA"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1119C254"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65D3AE7B"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4D98F89" w14:textId="7777777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76C64C16" wp14:editId="3061D4A4">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29642EFF"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2C52AE42" w14:textId="77777777" w:rsidTr="009D43C6">
        <w:tc>
          <w:tcPr>
            <w:tcW w:w="10870" w:type="dxa"/>
            <w:shd w:val="clear" w:color="auto" w:fill="auto"/>
          </w:tcPr>
          <w:p w14:paraId="5662823F"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1C2B7CDC"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4B61D2D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02E1A666"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25B93DF2"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E8A2ACE"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25991307"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7C7BC67C"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337A862C"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7E7A1B06"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2D6BBB9A"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sidRPr="00162545">
              <w:rPr>
                <w:rFonts w:ascii="Arial" w:hAnsi="Arial" w:cs="Arial"/>
                <w:color w:val="000000"/>
                <w:sz w:val="20"/>
                <w:szCs w:val="20"/>
                <w:lang w:val="it-IT" w:eastAsia="it-IT"/>
              </w:rPr>
              <w:t>creditizia :</w:t>
            </w:r>
            <w:proofErr w:type="gramEnd"/>
          </w:p>
          <w:p w14:paraId="1908D7B1"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0347657D"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650D2B20"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453C45BD"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w:t>
            </w:r>
            <w:proofErr w:type="gramStart"/>
            <w:r w:rsidRPr="006E06AE">
              <w:rPr>
                <w:rFonts w:ascii="Arial" w:hAnsi="Arial" w:cs="Arial"/>
                <w:color w:val="000000"/>
                <w:sz w:val="20"/>
                <w:szCs w:val="20"/>
              </w:rPr>
              <w:t>Titolari”</w:t>
            </w:r>
            <w:r>
              <w:rPr>
                <w:rFonts w:ascii="Arial" w:hAnsi="Arial" w:cs="Arial"/>
                <w:color w:val="000000"/>
                <w:sz w:val="20"/>
                <w:szCs w:val="20"/>
              </w:rPr>
              <w:t xml:space="preserve">  o</w:t>
            </w:r>
            <w:proofErr w:type="gramEnd"/>
            <w:r>
              <w:rPr>
                <w:rFonts w:ascii="Arial" w:hAnsi="Arial" w:cs="Arial"/>
                <w:color w:val="000000"/>
                <w:sz w:val="20"/>
                <w:szCs w:val="20"/>
              </w:rPr>
              <w:t xml:space="preserve">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344C4FB5"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E9AA9BE"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3E6ED9CE"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3DA6905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39FD72DD"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4B2C66C5"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016F6F48"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B0CDD3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78F92CD"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49FF7F34"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69BFBCF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7BC1A51F"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EE8A274"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14:paraId="4DAD1049"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035699B0"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7AF3F217"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7FB97" w14:textId="77777777" w:rsidR="008A2DD8" w:rsidRDefault="008A2DD8" w:rsidP="0081515F">
      <w:pPr>
        <w:spacing w:after="0" w:line="240" w:lineRule="auto"/>
      </w:pPr>
      <w:r>
        <w:separator/>
      </w:r>
    </w:p>
  </w:endnote>
  <w:endnote w:type="continuationSeparator" w:id="0">
    <w:p w14:paraId="64480CC6" w14:textId="77777777" w:rsidR="008A2DD8" w:rsidRDefault="008A2DD8"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E0BFF" w14:textId="77777777" w:rsidR="008A2DD8" w:rsidRDefault="008A2DD8" w:rsidP="0081515F">
      <w:pPr>
        <w:spacing w:after="0" w:line="240" w:lineRule="auto"/>
      </w:pPr>
      <w:r>
        <w:separator/>
      </w:r>
    </w:p>
  </w:footnote>
  <w:footnote w:type="continuationSeparator" w:id="0">
    <w:p w14:paraId="7839585D" w14:textId="77777777" w:rsidR="008A2DD8" w:rsidRDefault="008A2DD8" w:rsidP="0081515F">
      <w:pPr>
        <w:spacing w:after="0" w:line="240" w:lineRule="auto"/>
      </w:pPr>
      <w:r>
        <w:continuationSeparator/>
      </w:r>
    </w:p>
  </w:footnote>
  <w:footnote w:id="1">
    <w:p w14:paraId="3C14CE85" w14:textId="77777777"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05439C70" w14:textId="77777777"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0DD5192E" w14:textId="77777777"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333BECC"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332B5DB8"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21B72BDF"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0B1ABD3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1BD8B69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63E1F574"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6E92563A"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7F02EF45"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2EA2222E"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D05F8C8"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0925E1BB"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2C41B" w14:textId="77777777"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00A80320" w:rsidRPr="00EE2D42">
      <w:rPr>
        <w:rFonts w:ascii="Arial" w:hAnsi="Arial" w:cs="Arial"/>
        <w:sz w:val="20"/>
        <w:szCs w:val="20"/>
      </w:rPr>
      <w:fldChar w:fldCharType="begin"/>
    </w:r>
    <w:r w:rsidRPr="00EE2D42">
      <w:rPr>
        <w:rFonts w:ascii="Arial" w:hAnsi="Arial" w:cs="Arial"/>
        <w:sz w:val="20"/>
        <w:szCs w:val="20"/>
      </w:rPr>
      <w:instrText xml:space="preserve"> PAGE </w:instrText>
    </w:r>
    <w:r w:rsidR="00A80320" w:rsidRPr="00EE2D42">
      <w:rPr>
        <w:rFonts w:ascii="Arial" w:hAnsi="Arial" w:cs="Arial"/>
        <w:sz w:val="20"/>
        <w:szCs w:val="20"/>
      </w:rPr>
      <w:fldChar w:fldCharType="separate"/>
    </w:r>
    <w:r w:rsidR="000E3515">
      <w:rPr>
        <w:rFonts w:ascii="Arial" w:hAnsi="Arial" w:cs="Arial"/>
        <w:noProof/>
        <w:sz w:val="20"/>
        <w:szCs w:val="20"/>
      </w:rPr>
      <w:t>7</w:t>
    </w:r>
    <w:r w:rsidR="00A80320" w:rsidRPr="00EE2D42">
      <w:rPr>
        <w:rFonts w:ascii="Arial" w:hAnsi="Arial" w:cs="Arial"/>
        <w:sz w:val="20"/>
        <w:szCs w:val="20"/>
      </w:rPr>
      <w:fldChar w:fldCharType="end"/>
    </w:r>
    <w:r w:rsidRPr="00EE2D42">
      <w:rPr>
        <w:rFonts w:ascii="Arial" w:hAnsi="Arial" w:cs="Arial"/>
        <w:sz w:val="20"/>
        <w:szCs w:val="20"/>
      </w:rPr>
      <w:t xml:space="preserve"> di </w:t>
    </w:r>
    <w:r w:rsidR="00A80320" w:rsidRPr="00EE2D42">
      <w:rPr>
        <w:rFonts w:ascii="Arial" w:hAnsi="Arial" w:cs="Arial"/>
        <w:sz w:val="20"/>
        <w:szCs w:val="20"/>
      </w:rPr>
      <w:fldChar w:fldCharType="begin"/>
    </w:r>
    <w:r w:rsidRPr="00EE2D42">
      <w:rPr>
        <w:rFonts w:ascii="Arial" w:hAnsi="Arial" w:cs="Arial"/>
        <w:sz w:val="20"/>
        <w:szCs w:val="20"/>
      </w:rPr>
      <w:instrText xml:space="preserve"> NUMPAGES </w:instrText>
    </w:r>
    <w:r w:rsidR="00A80320" w:rsidRPr="00EE2D42">
      <w:rPr>
        <w:rFonts w:ascii="Arial" w:hAnsi="Arial" w:cs="Arial"/>
        <w:sz w:val="20"/>
        <w:szCs w:val="20"/>
      </w:rPr>
      <w:fldChar w:fldCharType="separate"/>
    </w:r>
    <w:r w:rsidR="000E3515">
      <w:rPr>
        <w:rFonts w:ascii="Arial" w:hAnsi="Arial" w:cs="Arial"/>
        <w:noProof/>
        <w:sz w:val="20"/>
        <w:szCs w:val="20"/>
      </w:rPr>
      <w:t>8</w:t>
    </w:r>
    <w:r w:rsidR="00A80320"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6.8pt;height:7.8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15F"/>
    <w:rsid w:val="0000591A"/>
    <w:rsid w:val="000275DC"/>
    <w:rsid w:val="00087AEB"/>
    <w:rsid w:val="000935AF"/>
    <w:rsid w:val="000A3125"/>
    <w:rsid w:val="000D3B27"/>
    <w:rsid w:val="000D4007"/>
    <w:rsid w:val="000E3515"/>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A2DD8"/>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24102"/>
    <w:rsid w:val="00A31F63"/>
    <w:rsid w:val="00A72273"/>
    <w:rsid w:val="00A80320"/>
    <w:rsid w:val="00A842D7"/>
    <w:rsid w:val="00AC2E2E"/>
    <w:rsid w:val="00AD4076"/>
    <w:rsid w:val="00AD75E6"/>
    <w:rsid w:val="00AF329B"/>
    <w:rsid w:val="00B36C57"/>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605B"/>
  <w15:docId w15:val="{DA72D0F6-6267-4481-9A57-ECDEC2E6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C7BE8-8EAB-457B-9E8F-40B2A15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hp</cp:lastModifiedBy>
  <cp:revision>3</cp:revision>
  <cp:lastPrinted>2020-04-15T08:32:00Z</cp:lastPrinted>
  <dcterms:created xsi:type="dcterms:W3CDTF">2020-04-14T13:27:00Z</dcterms:created>
  <dcterms:modified xsi:type="dcterms:W3CDTF">2020-04-15T08:33:00Z</dcterms:modified>
</cp:coreProperties>
</file>