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915D" w14:textId="47DB9222" w:rsidR="00784957" w:rsidRPr="00F35C4B" w:rsidRDefault="00EA76A7" w:rsidP="002706DC">
      <w:pPr>
        <w:jc w:val="both"/>
        <w:rPr>
          <w:rFonts w:asciiTheme="minorHAnsi" w:hAnsiTheme="minorHAnsi" w:cstheme="minorHAnsi"/>
          <w:b/>
          <w:color w:val="000000"/>
          <w:sz w:val="22"/>
          <w:szCs w:val="22"/>
        </w:rPr>
      </w:pPr>
      <w:r w:rsidRPr="00EA76A7">
        <w:rPr>
          <w:rFonts w:asciiTheme="minorHAnsi" w:hAnsiTheme="minorHAnsi" w:cstheme="minorHAnsi"/>
          <w:b/>
          <w:color w:val="000000"/>
          <w:sz w:val="22"/>
          <w:szCs w:val="22"/>
        </w:rPr>
        <w:t>Attività di omologazione e collaudi</w:t>
      </w:r>
      <w:r>
        <w:rPr>
          <w:rFonts w:asciiTheme="minorHAnsi" w:hAnsiTheme="minorHAnsi" w:cstheme="minorHAnsi"/>
          <w:b/>
          <w:color w:val="000000"/>
          <w:sz w:val="22"/>
          <w:szCs w:val="22"/>
        </w:rPr>
        <w:t>: r</w:t>
      </w:r>
      <w:r w:rsidRPr="00EA76A7">
        <w:rPr>
          <w:rFonts w:asciiTheme="minorHAnsi" w:hAnsiTheme="minorHAnsi" w:cstheme="minorHAnsi"/>
          <w:b/>
          <w:color w:val="000000"/>
          <w:sz w:val="22"/>
          <w:szCs w:val="22"/>
        </w:rPr>
        <w:t>ipresa delle operazioni tecniche</w:t>
      </w:r>
      <w:r w:rsidR="00AF2646">
        <w:rPr>
          <w:rFonts w:asciiTheme="minorHAnsi" w:eastAsia="Calibri" w:hAnsiTheme="minorHAnsi" w:cstheme="minorHAnsi"/>
          <w:b/>
          <w:bCs/>
          <w:noProof/>
          <w:sz w:val="22"/>
          <w:szCs w:val="22"/>
          <w:lang w:eastAsia="en-US"/>
        </w:rPr>
        <w:pict w14:anchorId="006CE6A0">
          <v:shape id="Segno di sottrazione 5" o:spid="_x0000_s1026" style="position:absolute;left:0;text-align:left;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w:r>
      <w:bookmarkStart w:id="0" w:name="_Hlk38354803"/>
    </w:p>
    <w:bookmarkEnd w:id="0"/>
    <w:p w14:paraId="0C106E63" w14:textId="77777777" w:rsidR="00784957" w:rsidRDefault="00784957" w:rsidP="002706DC">
      <w:pPr>
        <w:jc w:val="both"/>
        <w:rPr>
          <w:rFonts w:asciiTheme="minorHAnsi" w:hAnsiTheme="minorHAnsi" w:cstheme="minorHAnsi"/>
          <w:color w:val="000000"/>
          <w:sz w:val="22"/>
          <w:szCs w:val="22"/>
        </w:rPr>
      </w:pPr>
    </w:p>
    <w:p w14:paraId="7BF16632" w14:textId="08DE6B48" w:rsidR="00A74C20" w:rsidRDefault="00EA76A7" w:rsidP="007E4A43">
      <w:pPr>
        <w:rPr>
          <w:rFonts w:asciiTheme="minorHAnsi" w:hAnsiTheme="minorHAnsi"/>
          <w:sz w:val="22"/>
          <w:szCs w:val="22"/>
        </w:rPr>
      </w:pPr>
      <w:r w:rsidRPr="00EA76A7">
        <w:rPr>
          <w:rFonts w:asciiTheme="minorHAnsi" w:hAnsiTheme="minorHAnsi"/>
          <w:sz w:val="22"/>
          <w:szCs w:val="22"/>
        </w:rPr>
        <w:t>Circolare M</w:t>
      </w:r>
      <w:r>
        <w:rPr>
          <w:rFonts w:asciiTheme="minorHAnsi" w:hAnsiTheme="minorHAnsi"/>
          <w:sz w:val="22"/>
          <w:szCs w:val="22"/>
        </w:rPr>
        <w:t>otorizzazione</w:t>
      </w:r>
      <w:r w:rsidRPr="00EA76A7">
        <w:rPr>
          <w:rFonts w:asciiTheme="minorHAnsi" w:hAnsiTheme="minorHAnsi"/>
          <w:sz w:val="22"/>
          <w:szCs w:val="22"/>
        </w:rPr>
        <w:t xml:space="preserve"> del 30 aprile 2020</w:t>
      </w:r>
    </w:p>
    <w:p w14:paraId="57C66CD1" w14:textId="72496896" w:rsidR="00EA76A7" w:rsidRDefault="00EA76A7" w:rsidP="007E4A43">
      <w:pPr>
        <w:rPr>
          <w:rFonts w:asciiTheme="minorHAnsi" w:hAnsiTheme="minorHAnsi"/>
          <w:sz w:val="22"/>
          <w:szCs w:val="22"/>
        </w:rPr>
      </w:pPr>
    </w:p>
    <w:p w14:paraId="7853F6D3" w14:textId="07CC8A29" w:rsidR="00EA76A7" w:rsidRDefault="00EA76A7" w:rsidP="00EA76A7">
      <w:pPr>
        <w:rPr>
          <w:rFonts w:ascii="Calibri" w:eastAsia="Calibri" w:hAnsi="Calibri" w:cs="Calibri"/>
          <w:sz w:val="22"/>
        </w:rPr>
      </w:pPr>
      <w:r>
        <w:rPr>
          <w:rFonts w:ascii="Calibri" w:eastAsia="Calibri" w:hAnsi="Calibri" w:cs="Calibri"/>
          <w:sz w:val="22"/>
        </w:rPr>
        <w:t xml:space="preserve">ANITA informa che la Direzione Generale Motorizzazione – con la circolare </w:t>
      </w:r>
      <w:r w:rsidRPr="00EA76A7">
        <w:rPr>
          <w:rFonts w:ascii="Calibri" w:eastAsia="Calibri" w:hAnsi="Calibri" w:cs="Calibri"/>
          <w:b/>
          <w:bCs/>
          <w:sz w:val="22"/>
        </w:rPr>
        <w:t>allegata</w:t>
      </w:r>
      <w:r>
        <w:rPr>
          <w:rFonts w:ascii="Calibri" w:eastAsia="Calibri" w:hAnsi="Calibri" w:cs="Calibri"/>
          <w:sz w:val="22"/>
        </w:rPr>
        <w:t xml:space="preserve"> – ha reso noto che, a seguito del DPCM 26 aprile 2020, le attività industriali tra le quali i codici ATECO 29 e 45 (produzione e commercio del settore “automotive”) dal 4 maggio </w:t>
      </w:r>
      <w:r>
        <w:rPr>
          <w:rFonts w:ascii="Calibri" w:eastAsia="Calibri" w:hAnsi="Calibri" w:cs="Calibri"/>
          <w:sz w:val="22"/>
        </w:rPr>
        <w:t xml:space="preserve">2020 </w:t>
      </w:r>
      <w:r>
        <w:rPr>
          <w:rFonts w:ascii="Calibri" w:eastAsia="Calibri" w:hAnsi="Calibri" w:cs="Calibri"/>
          <w:sz w:val="22"/>
        </w:rPr>
        <w:t>possono riprendere la normale attività</w:t>
      </w:r>
      <w:r>
        <w:rPr>
          <w:rFonts w:ascii="Calibri" w:eastAsia="Calibri" w:hAnsi="Calibri" w:cs="Calibri"/>
          <w:sz w:val="22"/>
        </w:rPr>
        <w:t>.</w:t>
      </w:r>
      <w:r>
        <w:rPr>
          <w:rFonts w:ascii="Calibri" w:eastAsia="Calibri" w:hAnsi="Calibri" w:cs="Calibri"/>
          <w:sz w:val="22"/>
        </w:rPr>
        <w:t xml:space="preserve"> </w:t>
      </w:r>
    </w:p>
    <w:p w14:paraId="0035183C" w14:textId="77777777" w:rsidR="00EA76A7" w:rsidRDefault="00EA76A7" w:rsidP="00EA76A7">
      <w:pPr>
        <w:rPr>
          <w:rFonts w:ascii="Calibri" w:eastAsia="Calibri" w:hAnsi="Calibri" w:cs="Calibri"/>
        </w:rPr>
      </w:pPr>
    </w:p>
    <w:p w14:paraId="4830EC26" w14:textId="77777777" w:rsidR="00EA76A7" w:rsidRDefault="00EA76A7" w:rsidP="00EA76A7">
      <w:pPr>
        <w:rPr>
          <w:rFonts w:ascii="Calibri" w:eastAsia="Calibri" w:hAnsi="Calibri" w:cs="Calibri"/>
        </w:rPr>
      </w:pPr>
      <w:r>
        <w:rPr>
          <w:rFonts w:ascii="Calibri" w:eastAsia="Calibri" w:hAnsi="Calibri" w:cs="Calibri"/>
          <w:sz w:val="22"/>
        </w:rPr>
        <w:t>Per tale ragione, è necessario ripristinare per quanto possibile le attività degli uffici MOT e dei Centri Prova Autoveicoli – CPA - in particolare per le omologazioni di veicoli, componenti, sistemi ed entità tecniche e a quelle di visita e prova (artt.75 e 78 Cds).</w:t>
      </w:r>
    </w:p>
    <w:p w14:paraId="5691A842" w14:textId="77777777" w:rsidR="00EA76A7" w:rsidRDefault="00EA76A7" w:rsidP="00EA76A7">
      <w:pPr>
        <w:rPr>
          <w:rFonts w:ascii="Calibri" w:eastAsia="Calibri" w:hAnsi="Calibri" w:cs="Calibri"/>
          <w:sz w:val="22"/>
        </w:rPr>
      </w:pPr>
    </w:p>
    <w:p w14:paraId="17E04327" w14:textId="2CF0CA3D" w:rsidR="00EA76A7" w:rsidRDefault="00EA76A7" w:rsidP="00EA76A7">
      <w:pPr>
        <w:rPr>
          <w:rFonts w:ascii="Calibri" w:eastAsia="Calibri" w:hAnsi="Calibri" w:cs="Calibri"/>
        </w:rPr>
      </w:pPr>
      <w:r>
        <w:rPr>
          <w:rFonts w:ascii="Calibri" w:eastAsia="Calibri" w:hAnsi="Calibri" w:cs="Calibri"/>
          <w:sz w:val="22"/>
        </w:rPr>
        <w:t>Sono state impartite, a tale proposito</w:t>
      </w:r>
      <w:r>
        <w:rPr>
          <w:rFonts w:ascii="Calibri" w:eastAsia="Calibri" w:hAnsi="Calibri" w:cs="Calibri"/>
          <w:sz w:val="22"/>
        </w:rPr>
        <w:t>,</w:t>
      </w:r>
      <w:r>
        <w:rPr>
          <w:rFonts w:ascii="Calibri" w:eastAsia="Calibri" w:hAnsi="Calibri" w:cs="Calibri"/>
          <w:sz w:val="22"/>
        </w:rPr>
        <w:t xml:space="preserve"> le seguenti linee guida:</w:t>
      </w:r>
    </w:p>
    <w:p w14:paraId="117CDE60" w14:textId="77777777" w:rsidR="00EA76A7" w:rsidRDefault="00EA76A7" w:rsidP="00EA76A7">
      <w:pPr>
        <w:rPr>
          <w:rFonts w:ascii="Calibri" w:eastAsia="Calibri" w:hAnsi="Calibri" w:cs="Calibri"/>
        </w:rPr>
      </w:pPr>
    </w:p>
    <w:p w14:paraId="7E6BCCFB" w14:textId="52B43689" w:rsidR="00EA76A7" w:rsidRPr="00EA76A7" w:rsidRDefault="00EA76A7" w:rsidP="00EA76A7">
      <w:pPr>
        <w:rPr>
          <w:rFonts w:ascii="Calibri" w:eastAsia="Calibri" w:hAnsi="Calibri" w:cs="Calibri"/>
          <w:b/>
          <w:iCs/>
        </w:rPr>
      </w:pPr>
      <w:r w:rsidRPr="00EA76A7">
        <w:rPr>
          <w:rFonts w:ascii="Calibri" w:eastAsia="Calibri" w:hAnsi="Calibri" w:cs="Calibri"/>
          <w:b/>
          <w:iCs/>
          <w:sz w:val="22"/>
        </w:rPr>
        <w:t xml:space="preserve">Attività </w:t>
      </w:r>
      <w:r w:rsidRPr="00EA76A7">
        <w:rPr>
          <w:rFonts w:ascii="Calibri" w:eastAsia="Calibri" w:hAnsi="Calibri" w:cs="Calibri"/>
          <w:b/>
          <w:iCs/>
          <w:sz w:val="22"/>
        </w:rPr>
        <w:t xml:space="preserve">relative alle </w:t>
      </w:r>
      <w:r w:rsidRPr="00EA76A7">
        <w:rPr>
          <w:rFonts w:ascii="Calibri" w:eastAsia="Calibri" w:hAnsi="Calibri" w:cs="Calibri"/>
          <w:b/>
          <w:iCs/>
          <w:sz w:val="22"/>
        </w:rPr>
        <w:t>omologazioni di veicoli</w:t>
      </w:r>
    </w:p>
    <w:p w14:paraId="08A3BDA9" w14:textId="190D34D5" w:rsidR="00EA76A7" w:rsidRDefault="00EA76A7" w:rsidP="00EA76A7">
      <w:pPr>
        <w:rPr>
          <w:rFonts w:ascii="Calibri" w:eastAsia="Calibri" w:hAnsi="Calibri" w:cs="Calibri"/>
        </w:rPr>
      </w:pPr>
      <w:r>
        <w:rPr>
          <w:rFonts w:ascii="Calibri" w:eastAsia="Calibri" w:hAnsi="Calibri" w:cs="Calibri"/>
          <w:sz w:val="22"/>
        </w:rPr>
        <w:t>Le verifiche e prove presso le sedi dei Costruttori o da essi predisposte in territorio nazionale devono essere limitate alle strutture (laboratori, piste, aree di prova) poste nella regione sede del CPA ovvero nelle regioni della DGT di appartenenza del CPA. In tale contesto saranno attivate tutte le iniziative per limitare gli spostamenti del personale tecnico, assicurando la collaborazione tra CPA più prossimi alla sede o laboratorio individuati dall’utente. Sarà utilizzat</w:t>
      </w:r>
      <w:r>
        <w:rPr>
          <w:rFonts w:ascii="Calibri" w:eastAsia="Calibri" w:hAnsi="Calibri" w:cs="Calibri"/>
          <w:sz w:val="22"/>
        </w:rPr>
        <w:t>o</w:t>
      </w:r>
      <w:r>
        <w:rPr>
          <w:rFonts w:ascii="Calibri" w:eastAsia="Calibri" w:hAnsi="Calibri" w:cs="Calibri"/>
          <w:sz w:val="22"/>
        </w:rPr>
        <w:t xml:space="preserve"> ove possibile il riscontro “in remoto” da parte dei laboratori di prova dotati di attrezzature telematiche e dovrà essere garantita la conservazione dei files. Il funzionario tecnico incaricato delle prove valuterà il ricorso ad altre forme (documenti, fotografie, </w:t>
      </w:r>
      <w:proofErr w:type="spellStart"/>
      <w:r>
        <w:rPr>
          <w:rFonts w:ascii="Calibri" w:eastAsia="Calibri" w:hAnsi="Calibri" w:cs="Calibri"/>
          <w:sz w:val="22"/>
        </w:rPr>
        <w:t>ecc</w:t>
      </w:r>
      <w:proofErr w:type="spellEnd"/>
      <w:r>
        <w:rPr>
          <w:rFonts w:ascii="Calibri" w:eastAsia="Calibri" w:hAnsi="Calibri" w:cs="Calibri"/>
          <w:sz w:val="22"/>
        </w:rPr>
        <w:t>).</w:t>
      </w:r>
    </w:p>
    <w:p w14:paraId="0CAFB545" w14:textId="77777777" w:rsidR="00EA76A7" w:rsidRDefault="00EA76A7" w:rsidP="00EA76A7">
      <w:pPr>
        <w:rPr>
          <w:rFonts w:ascii="Calibri" w:eastAsia="Calibri" w:hAnsi="Calibri" w:cs="Calibri"/>
        </w:rPr>
      </w:pPr>
      <w:r>
        <w:rPr>
          <w:rFonts w:ascii="Calibri" w:eastAsia="Calibri" w:hAnsi="Calibri" w:cs="Calibri"/>
          <w:sz w:val="22"/>
        </w:rPr>
        <w:t>Le iniziative sopra illustrate si intendono a carattere provvisorio e nella fase di emergenza</w:t>
      </w:r>
    </w:p>
    <w:p w14:paraId="4BC9C65F" w14:textId="77777777" w:rsidR="00EA76A7" w:rsidRDefault="00EA76A7" w:rsidP="00EA76A7">
      <w:pPr>
        <w:rPr>
          <w:rFonts w:ascii="Calibri" w:eastAsia="Calibri" w:hAnsi="Calibri" w:cs="Calibri"/>
        </w:rPr>
      </w:pPr>
      <w:r>
        <w:rPr>
          <w:rFonts w:ascii="Calibri" w:eastAsia="Calibri" w:hAnsi="Calibri" w:cs="Calibri"/>
          <w:sz w:val="22"/>
        </w:rPr>
        <w:t>sanitaria in atto.</w:t>
      </w:r>
    </w:p>
    <w:p w14:paraId="16CC0E18" w14:textId="77777777" w:rsidR="00EA76A7" w:rsidRDefault="00EA76A7" w:rsidP="00EA76A7">
      <w:pPr>
        <w:rPr>
          <w:rFonts w:ascii="Calibri" w:eastAsia="Calibri" w:hAnsi="Calibri" w:cs="Calibri"/>
        </w:rPr>
      </w:pPr>
      <w:r>
        <w:rPr>
          <w:rFonts w:ascii="Calibri" w:eastAsia="Calibri" w:hAnsi="Calibri" w:cs="Calibri"/>
          <w:sz w:val="22"/>
        </w:rPr>
        <w:t>Per tutte le attività da svolgere presso le sedi degli utenti dovrà essere garantita l’adozione di misure di prevenzione sanitarie previste negli Accordi tra il Governo e le parti sociali. Per le attività da svolgere presso le sedi dei CPA (quali le stazioni di prova ATP), dovranno essere</w:t>
      </w:r>
    </w:p>
    <w:p w14:paraId="2D45718E" w14:textId="77777777" w:rsidR="00EA76A7" w:rsidRDefault="00EA76A7" w:rsidP="00EA76A7">
      <w:pPr>
        <w:rPr>
          <w:rFonts w:ascii="Calibri" w:eastAsia="Calibri" w:hAnsi="Calibri" w:cs="Calibri"/>
        </w:rPr>
      </w:pPr>
      <w:r>
        <w:rPr>
          <w:rFonts w:ascii="Calibri" w:eastAsia="Calibri" w:hAnsi="Calibri" w:cs="Calibri"/>
          <w:sz w:val="22"/>
        </w:rPr>
        <w:t>attivate procedure ed informative all’utenza in modo da garantire le misure di prevenzione</w:t>
      </w:r>
    </w:p>
    <w:p w14:paraId="5C222F53" w14:textId="2AB07C7D" w:rsidR="00EA76A7" w:rsidRDefault="00EA76A7" w:rsidP="00EA76A7">
      <w:pPr>
        <w:rPr>
          <w:rFonts w:ascii="Calibri" w:eastAsia="Calibri" w:hAnsi="Calibri" w:cs="Calibri"/>
        </w:rPr>
      </w:pPr>
      <w:r>
        <w:rPr>
          <w:rFonts w:ascii="Calibri" w:eastAsia="Calibri" w:hAnsi="Calibri" w:cs="Calibri"/>
          <w:sz w:val="22"/>
        </w:rPr>
        <w:t>sanitaria; in particolare potrà essere richiesta una assunzione di responsabilità del richiedente che si è provveduto ad una sanificazione del veicolo (almeno nelle parti oggetto di verifica quali la cassa isotermica) mentre gli addetti alla consegna e ripresa del veicolo dovranno</w:t>
      </w:r>
      <w:r>
        <w:rPr>
          <w:rFonts w:ascii="Calibri" w:eastAsia="Calibri" w:hAnsi="Calibri" w:cs="Calibri"/>
          <w:sz w:val="22"/>
        </w:rPr>
        <w:t xml:space="preserve"> </w:t>
      </w:r>
      <w:r>
        <w:rPr>
          <w:rFonts w:ascii="Calibri" w:eastAsia="Calibri" w:hAnsi="Calibri" w:cs="Calibri"/>
          <w:sz w:val="22"/>
        </w:rPr>
        <w:t>essere muniti di mascherina di protezione.</w:t>
      </w:r>
    </w:p>
    <w:p w14:paraId="1BE50C8B" w14:textId="77777777" w:rsidR="00EA76A7" w:rsidRDefault="00EA76A7" w:rsidP="00EA76A7">
      <w:pPr>
        <w:rPr>
          <w:rFonts w:ascii="Calibri" w:eastAsia="Calibri" w:hAnsi="Calibri" w:cs="Calibri"/>
          <w:b/>
          <w:bCs/>
          <w:i/>
          <w:iCs/>
        </w:rPr>
      </w:pPr>
    </w:p>
    <w:p w14:paraId="58917025" w14:textId="1A2F1929" w:rsidR="00EA76A7" w:rsidRPr="00EA76A7" w:rsidRDefault="00EA76A7" w:rsidP="00EA76A7">
      <w:pPr>
        <w:rPr>
          <w:rFonts w:ascii="Calibri" w:eastAsia="Calibri" w:hAnsi="Calibri" w:cs="Calibri"/>
          <w:b/>
        </w:rPr>
      </w:pPr>
      <w:r w:rsidRPr="00EA76A7">
        <w:rPr>
          <w:rFonts w:ascii="Calibri" w:eastAsia="Calibri" w:hAnsi="Calibri" w:cs="Calibri"/>
          <w:b/>
          <w:bCs/>
        </w:rPr>
        <w:t>A</w:t>
      </w:r>
      <w:r w:rsidRPr="00EA76A7">
        <w:rPr>
          <w:rFonts w:ascii="Calibri" w:eastAsia="Calibri" w:hAnsi="Calibri" w:cs="Calibri"/>
          <w:b/>
          <w:sz w:val="22"/>
        </w:rPr>
        <w:t>ttività di verifica di veicoli in unico esemplare</w:t>
      </w:r>
    </w:p>
    <w:p w14:paraId="5E880E29" w14:textId="77777777" w:rsidR="00EA76A7" w:rsidRDefault="00EA76A7" w:rsidP="00EA76A7">
      <w:pPr>
        <w:rPr>
          <w:rFonts w:ascii="Calibri" w:eastAsia="Calibri" w:hAnsi="Calibri" w:cs="Calibri"/>
        </w:rPr>
      </w:pPr>
      <w:r>
        <w:rPr>
          <w:rFonts w:ascii="Calibri" w:eastAsia="Calibri" w:hAnsi="Calibri" w:cs="Calibri"/>
          <w:sz w:val="22"/>
        </w:rPr>
        <w:t>Per quanto concerne le attività di visita e prova (art. 75) o di aggiornamento (art. 78), si</w:t>
      </w:r>
    </w:p>
    <w:p w14:paraId="2494291E" w14:textId="77777777" w:rsidR="00EA76A7" w:rsidRDefault="00EA76A7" w:rsidP="00EA76A7">
      <w:pPr>
        <w:rPr>
          <w:rFonts w:ascii="Calibri" w:eastAsia="Calibri" w:hAnsi="Calibri" w:cs="Calibri"/>
        </w:rPr>
      </w:pPr>
      <w:r>
        <w:rPr>
          <w:rFonts w:ascii="Calibri" w:eastAsia="Calibri" w:hAnsi="Calibri" w:cs="Calibri"/>
          <w:sz w:val="22"/>
        </w:rPr>
        <w:t>evidenzia quanto segue.</w:t>
      </w:r>
    </w:p>
    <w:p w14:paraId="6AD9F89D" w14:textId="13333364" w:rsidR="00EA76A7" w:rsidRDefault="00EA76A7" w:rsidP="00EA76A7">
      <w:pPr>
        <w:rPr>
          <w:rFonts w:ascii="Calibri" w:eastAsia="Calibri" w:hAnsi="Calibri" w:cs="Calibri"/>
        </w:rPr>
      </w:pPr>
      <w:r>
        <w:rPr>
          <w:rFonts w:ascii="Calibri" w:eastAsia="Calibri" w:hAnsi="Calibri" w:cs="Calibri"/>
          <w:sz w:val="22"/>
        </w:rPr>
        <w:t>Per l’approvazione di veicoli in unico esemplare, effettuati presso un</w:t>
      </w:r>
      <w:r>
        <w:rPr>
          <w:rFonts w:ascii="Calibri" w:eastAsia="Calibri" w:hAnsi="Calibri" w:cs="Calibri"/>
          <w:sz w:val="22"/>
        </w:rPr>
        <w:t xml:space="preserve"> </w:t>
      </w:r>
      <w:r>
        <w:rPr>
          <w:rFonts w:ascii="Calibri" w:eastAsia="Calibri" w:hAnsi="Calibri" w:cs="Calibri"/>
          <w:sz w:val="22"/>
        </w:rPr>
        <w:t>CPA</w:t>
      </w:r>
      <w:r>
        <w:rPr>
          <w:rFonts w:ascii="Calibri" w:eastAsia="Calibri" w:hAnsi="Calibri" w:cs="Calibri"/>
          <w:sz w:val="22"/>
        </w:rPr>
        <w:t>,</w:t>
      </w:r>
      <w:r>
        <w:rPr>
          <w:rFonts w:ascii="Calibri" w:eastAsia="Calibri" w:hAnsi="Calibri" w:cs="Calibri"/>
          <w:sz w:val="22"/>
        </w:rPr>
        <w:t xml:space="preserve"> deve essere rispettato il vincolo della competenza territoriale. Al fine di limitare gli spostamenti tra i diversi ambiti territoriali e di conseguire uniformità di procedure su tutto il territorio nazionale, si chiarisce e si dispone che il vincolo territoriale si applica nel caso di</w:t>
      </w:r>
      <w:r>
        <w:rPr>
          <w:rFonts w:ascii="Calibri" w:eastAsia="Calibri" w:hAnsi="Calibri" w:cs="Calibri"/>
        </w:rPr>
        <w:t xml:space="preserve"> </w:t>
      </w:r>
      <w:r>
        <w:rPr>
          <w:rFonts w:ascii="Calibri" w:eastAsia="Calibri" w:hAnsi="Calibri" w:cs="Calibri"/>
          <w:sz w:val="22"/>
        </w:rPr>
        <w:t>“unici esemplari”. Le richieste di visita e prova di veicoli nuovi di fabbrica, soggetti ad</w:t>
      </w:r>
      <w:r>
        <w:rPr>
          <w:rFonts w:ascii="Calibri" w:eastAsia="Calibri" w:hAnsi="Calibri" w:cs="Calibri"/>
        </w:rPr>
        <w:t xml:space="preserve"> </w:t>
      </w:r>
      <w:r>
        <w:rPr>
          <w:rFonts w:ascii="Calibri" w:eastAsia="Calibri" w:hAnsi="Calibri" w:cs="Calibri"/>
          <w:sz w:val="22"/>
        </w:rPr>
        <w:t>allestimenti o modifiche in una o più fasi da parte di uno o più allestitori, debbono essere</w:t>
      </w:r>
      <w:r>
        <w:rPr>
          <w:rFonts w:ascii="Calibri" w:eastAsia="Calibri" w:hAnsi="Calibri" w:cs="Calibri"/>
        </w:rPr>
        <w:t xml:space="preserve"> </w:t>
      </w:r>
      <w:r>
        <w:rPr>
          <w:rFonts w:ascii="Calibri" w:eastAsia="Calibri" w:hAnsi="Calibri" w:cs="Calibri"/>
          <w:sz w:val="22"/>
        </w:rPr>
        <w:t>presentate</w:t>
      </w:r>
      <w:r>
        <w:rPr>
          <w:rFonts w:ascii="Calibri" w:eastAsia="Calibri" w:hAnsi="Calibri" w:cs="Calibri"/>
          <w:sz w:val="22"/>
        </w:rPr>
        <w:t xml:space="preserve"> – </w:t>
      </w:r>
      <w:r>
        <w:rPr>
          <w:rFonts w:ascii="Calibri" w:eastAsia="Calibri" w:hAnsi="Calibri" w:cs="Calibri"/>
          <w:sz w:val="22"/>
        </w:rPr>
        <w:t>a seconda delle specifiche competenz</w:t>
      </w:r>
      <w:r>
        <w:rPr>
          <w:rFonts w:ascii="Calibri" w:eastAsia="Calibri" w:hAnsi="Calibri" w:cs="Calibri"/>
          <w:sz w:val="22"/>
        </w:rPr>
        <w:t>e –</w:t>
      </w:r>
      <w:r>
        <w:rPr>
          <w:rFonts w:ascii="Calibri" w:eastAsia="Calibri" w:hAnsi="Calibri" w:cs="Calibri"/>
          <w:sz w:val="22"/>
        </w:rPr>
        <w:t xml:space="preserve"> presso l’UMC ovvero presso il CPA</w:t>
      </w:r>
      <w:r>
        <w:rPr>
          <w:rFonts w:ascii="Calibri" w:eastAsia="Calibri" w:hAnsi="Calibri" w:cs="Calibri"/>
        </w:rPr>
        <w:t xml:space="preserve"> </w:t>
      </w:r>
      <w:r>
        <w:rPr>
          <w:rFonts w:ascii="Calibri" w:eastAsia="Calibri" w:hAnsi="Calibri" w:cs="Calibri"/>
          <w:sz w:val="22"/>
        </w:rPr>
        <w:t>competente territorialmente in relazione alla sede dell’allestitore che ha operato la singola</w:t>
      </w:r>
      <w:r>
        <w:rPr>
          <w:rFonts w:ascii="Calibri" w:eastAsia="Calibri" w:hAnsi="Calibri" w:cs="Calibri"/>
        </w:rPr>
        <w:t xml:space="preserve"> </w:t>
      </w:r>
      <w:r>
        <w:rPr>
          <w:rFonts w:ascii="Calibri" w:eastAsia="Calibri" w:hAnsi="Calibri" w:cs="Calibri"/>
          <w:sz w:val="22"/>
        </w:rPr>
        <w:t>fase intermedia ovvero in relazione all’ultimo intervento qualora non richiesto il certificato di approvazione per singola fase. Per la verifica iniziale del veicolo costruito in unico esemplare</w:t>
      </w:r>
      <w:r>
        <w:rPr>
          <w:rFonts w:ascii="Calibri" w:eastAsia="Calibri" w:hAnsi="Calibri" w:cs="Calibri"/>
          <w:sz w:val="22"/>
        </w:rPr>
        <w:t>,</w:t>
      </w:r>
      <w:r>
        <w:rPr>
          <w:rFonts w:ascii="Calibri" w:eastAsia="Calibri" w:hAnsi="Calibri" w:cs="Calibri"/>
          <w:sz w:val="22"/>
        </w:rPr>
        <w:t xml:space="preserve"> la competenza territoriale è riferita alle regioni rientranti nella competenza </w:t>
      </w:r>
      <w:r>
        <w:rPr>
          <w:rFonts w:ascii="Calibri" w:eastAsia="Calibri" w:hAnsi="Calibri" w:cs="Calibri"/>
          <w:sz w:val="22"/>
        </w:rPr>
        <w:lastRenderedPageBreak/>
        <w:t>territoriale della DGT di appartenenza. Per i costruttori esteri, la sede competente è quella riferita alla sede del rappresentante in Italia. Le richieste di collaudo saranno evase in tempi ragionevoli, in funzione dei carichi di lavoro dei singoli CPA. La competenza territoriale per i collaudi in “Unico esemplare” è applicata per le domande presentate dalla data della circolare (30 aprile 2020).</w:t>
      </w:r>
    </w:p>
    <w:p w14:paraId="47239FE9" w14:textId="77777777" w:rsidR="00EA76A7" w:rsidRDefault="00EA76A7" w:rsidP="00EA76A7">
      <w:pPr>
        <w:rPr>
          <w:rFonts w:ascii="Calibri" w:eastAsia="Calibri" w:hAnsi="Calibri" w:cs="Calibri"/>
        </w:rPr>
      </w:pPr>
      <w:r>
        <w:rPr>
          <w:rFonts w:ascii="Calibri" w:eastAsia="Calibri" w:hAnsi="Calibri" w:cs="Calibri"/>
          <w:sz w:val="22"/>
        </w:rPr>
        <w:t>Le DGT adotteranno le disposizioni integrative che ritengono necessarie per il rispetto</w:t>
      </w:r>
    </w:p>
    <w:p w14:paraId="3CBA97AB" w14:textId="77777777" w:rsidR="00EA76A7" w:rsidRDefault="00EA76A7" w:rsidP="00EA76A7">
      <w:pPr>
        <w:rPr>
          <w:rFonts w:ascii="Calibri" w:eastAsia="Calibri" w:hAnsi="Calibri" w:cs="Calibri"/>
        </w:rPr>
      </w:pPr>
      <w:r>
        <w:rPr>
          <w:rFonts w:ascii="Calibri" w:eastAsia="Calibri" w:hAnsi="Calibri" w:cs="Calibri"/>
          <w:sz w:val="22"/>
        </w:rPr>
        <w:t>delle misure di prevenzione sanitaria, sia per le attività da svolgere presso le sedi degli utenti che presso le sedi dei CPA.</w:t>
      </w:r>
    </w:p>
    <w:p w14:paraId="053E3A75" w14:textId="77777777" w:rsidR="00EA76A7" w:rsidRDefault="00EA76A7" w:rsidP="007E4A43">
      <w:pPr>
        <w:rPr>
          <w:rFonts w:asciiTheme="minorHAnsi" w:hAnsiTheme="minorHAnsi"/>
          <w:sz w:val="22"/>
          <w:szCs w:val="22"/>
        </w:rPr>
      </w:pPr>
    </w:p>
    <w:p w14:paraId="0AC47CBD" w14:textId="77777777" w:rsidR="00B85F00" w:rsidRDefault="00B85F00" w:rsidP="009B3D7A">
      <w:pPr>
        <w:rPr>
          <w:rFonts w:asciiTheme="minorHAnsi" w:hAnsiTheme="minorHAnsi"/>
          <w:sz w:val="22"/>
          <w:szCs w:val="22"/>
        </w:rPr>
      </w:pPr>
    </w:p>
    <w:p w14:paraId="096F304C" w14:textId="77777777" w:rsidR="007E4A43" w:rsidRDefault="007E4A43" w:rsidP="002706DC">
      <w:pPr>
        <w:autoSpaceDE w:val="0"/>
        <w:autoSpaceDN w:val="0"/>
        <w:adjustRightInd w:val="0"/>
        <w:jc w:val="both"/>
        <w:rPr>
          <w:rFonts w:asciiTheme="minorHAnsi" w:hAnsiTheme="minorHAnsi" w:cstheme="minorHAnsi"/>
          <w:b/>
          <w:bCs/>
          <w:sz w:val="22"/>
          <w:szCs w:val="22"/>
        </w:rPr>
      </w:pPr>
    </w:p>
    <w:p w14:paraId="7492A054" w14:textId="720D75DA" w:rsidR="008C1069" w:rsidRPr="002706DC" w:rsidRDefault="008C1069" w:rsidP="002706DC">
      <w:pPr>
        <w:autoSpaceDE w:val="0"/>
        <w:autoSpaceDN w:val="0"/>
        <w:adjustRightInd w:val="0"/>
        <w:jc w:val="both"/>
        <w:rPr>
          <w:rFonts w:asciiTheme="minorHAnsi" w:hAnsiTheme="minorHAnsi" w:cstheme="minorHAnsi"/>
          <w:b/>
          <w:bCs/>
          <w:sz w:val="22"/>
          <w:szCs w:val="22"/>
        </w:rPr>
      </w:pPr>
      <w:r w:rsidRPr="002706DC">
        <w:rPr>
          <w:rFonts w:asciiTheme="minorHAnsi" w:hAnsiTheme="minorHAnsi" w:cstheme="minorHAnsi"/>
          <w:b/>
          <w:bCs/>
          <w:sz w:val="22"/>
          <w:szCs w:val="22"/>
        </w:rPr>
        <w:t>Riferimenti:</w:t>
      </w:r>
    </w:p>
    <w:p w14:paraId="381DAD47" w14:textId="77777777" w:rsidR="008C1069" w:rsidRPr="002706DC" w:rsidRDefault="008C1069" w:rsidP="002706DC">
      <w:pPr>
        <w:autoSpaceDE w:val="0"/>
        <w:autoSpaceDN w:val="0"/>
        <w:adjustRightInd w:val="0"/>
        <w:jc w:val="both"/>
        <w:rPr>
          <w:rFonts w:asciiTheme="minorHAnsi" w:hAnsiTheme="minorHAnsi" w:cstheme="minorHAnsi"/>
          <w:sz w:val="22"/>
          <w:szCs w:val="22"/>
        </w:rPr>
      </w:pPr>
      <w:r w:rsidRPr="002706DC">
        <w:rPr>
          <w:rFonts w:asciiTheme="minorHAnsi" w:hAnsiTheme="minorHAnsi" w:cstheme="minorHAnsi"/>
          <w:sz w:val="22"/>
          <w:szCs w:val="22"/>
        </w:rPr>
        <w:t xml:space="preserve">Confindustria Umbria - Area Ambiente e Sicurezza – </w:t>
      </w:r>
      <w:hyperlink r:id="rId7" w:history="1">
        <w:r w:rsidRPr="002706DC">
          <w:rPr>
            <w:rStyle w:val="Collegamentoipertestuale"/>
            <w:rFonts w:asciiTheme="minorHAnsi" w:hAnsiTheme="minorHAnsi" w:cstheme="minorHAnsi"/>
            <w:sz w:val="22"/>
            <w:szCs w:val="22"/>
          </w:rPr>
          <w:t>trasporti@confindustria.umbria.it</w:t>
        </w:r>
      </w:hyperlink>
    </w:p>
    <w:p w14:paraId="658D52E2" w14:textId="394E1ABF" w:rsidR="008C1069" w:rsidRPr="002706DC" w:rsidRDefault="00B17687" w:rsidP="002706DC">
      <w:pPr>
        <w:autoSpaceDE w:val="0"/>
        <w:autoSpaceDN w:val="0"/>
        <w:adjustRightInd w:val="0"/>
        <w:jc w:val="both"/>
        <w:rPr>
          <w:rFonts w:asciiTheme="minorHAnsi" w:hAnsiTheme="minorHAnsi" w:cstheme="minorHAnsi"/>
          <w:sz w:val="22"/>
          <w:szCs w:val="22"/>
        </w:rPr>
      </w:pPr>
      <w:r w:rsidRPr="002706DC">
        <w:rPr>
          <w:rFonts w:asciiTheme="minorHAnsi" w:hAnsiTheme="minorHAnsi" w:cstheme="minorHAnsi"/>
          <w:sz w:val="22"/>
          <w:szCs w:val="22"/>
        </w:rPr>
        <w:t xml:space="preserve">Dott. Dominici Tel. 0744/443418 </w:t>
      </w:r>
      <w:r w:rsidR="009B3D7A">
        <w:rPr>
          <w:rFonts w:asciiTheme="minorHAnsi" w:hAnsiTheme="minorHAnsi" w:cstheme="minorHAnsi"/>
          <w:sz w:val="22"/>
          <w:szCs w:val="22"/>
        </w:rPr>
        <w:t xml:space="preserve">- </w:t>
      </w:r>
      <w:r w:rsidR="009B3D7A" w:rsidRPr="002706DC">
        <w:rPr>
          <w:rFonts w:asciiTheme="minorHAnsi" w:hAnsiTheme="minorHAnsi" w:cstheme="minorHAnsi"/>
          <w:sz w:val="22"/>
          <w:szCs w:val="22"/>
        </w:rPr>
        <w:t>Dott. Di Matteo Tel. 075/5820227</w:t>
      </w:r>
    </w:p>
    <w:p w14:paraId="79B19CFD" w14:textId="77777777" w:rsidR="005368B1" w:rsidRPr="002706DC" w:rsidRDefault="005368B1" w:rsidP="002706DC">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2DE07D8A" w14:textId="77777777" w:rsidR="00496EE7" w:rsidRPr="002706DC" w:rsidRDefault="00496EE7" w:rsidP="002706DC">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183CD2B4" w14:textId="77777777" w:rsidR="00496EE7" w:rsidRPr="002706DC" w:rsidRDefault="00496EE7" w:rsidP="002706DC">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06C0660" w14:textId="77777777" w:rsidR="008A3087" w:rsidRPr="002706DC" w:rsidRDefault="008A3087" w:rsidP="002706DC">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B3D798C" w14:textId="45F44BF3" w:rsidR="00FA09FD" w:rsidRPr="002706DC" w:rsidRDefault="00FA09FD" w:rsidP="002706DC">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2706DC">
        <w:rPr>
          <w:rFonts w:asciiTheme="minorHAnsi" w:hAnsiTheme="minorHAnsi" w:cstheme="minorHAnsi"/>
          <w:sz w:val="22"/>
          <w:szCs w:val="22"/>
        </w:rPr>
        <w:t xml:space="preserve">Pubblicata il </w:t>
      </w:r>
      <w:r w:rsidR="009B3D7A">
        <w:rPr>
          <w:rFonts w:asciiTheme="minorHAnsi" w:hAnsiTheme="minorHAnsi" w:cstheme="minorHAnsi"/>
          <w:sz w:val="22"/>
          <w:szCs w:val="22"/>
        </w:rPr>
        <w:t>0</w:t>
      </w:r>
      <w:r w:rsidR="000107F9">
        <w:rPr>
          <w:rFonts w:asciiTheme="minorHAnsi" w:hAnsiTheme="minorHAnsi" w:cstheme="minorHAnsi"/>
          <w:sz w:val="22"/>
          <w:szCs w:val="22"/>
        </w:rPr>
        <w:t>6</w:t>
      </w:r>
      <w:r w:rsidR="00E73686" w:rsidRPr="002706DC">
        <w:rPr>
          <w:rFonts w:asciiTheme="minorHAnsi" w:hAnsiTheme="minorHAnsi" w:cstheme="minorHAnsi"/>
          <w:sz w:val="22"/>
          <w:szCs w:val="22"/>
        </w:rPr>
        <w:t>/0</w:t>
      </w:r>
      <w:r w:rsidR="009B3D7A">
        <w:rPr>
          <w:rFonts w:asciiTheme="minorHAnsi" w:hAnsiTheme="minorHAnsi" w:cstheme="minorHAnsi"/>
          <w:sz w:val="22"/>
          <w:szCs w:val="22"/>
        </w:rPr>
        <w:t>5</w:t>
      </w:r>
      <w:r w:rsidR="00051C34" w:rsidRPr="002706DC">
        <w:rPr>
          <w:rFonts w:asciiTheme="minorHAnsi" w:hAnsiTheme="minorHAnsi" w:cstheme="minorHAnsi"/>
          <w:sz w:val="22"/>
          <w:szCs w:val="22"/>
        </w:rPr>
        <w:t>/2020</w:t>
      </w:r>
    </w:p>
    <w:sectPr w:rsidR="00FA09FD" w:rsidRPr="002706DC"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C4ACA" w14:textId="77777777" w:rsidR="00AF2646" w:rsidRDefault="00AF2646">
      <w:r>
        <w:separator/>
      </w:r>
    </w:p>
  </w:endnote>
  <w:endnote w:type="continuationSeparator" w:id="0">
    <w:p w14:paraId="77C214A6" w14:textId="77777777" w:rsidR="00AF2646" w:rsidRDefault="00AF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9B0B"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E36F98C"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6E102FC5"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E059671"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983D1" w14:textId="77777777" w:rsidR="00AF2646" w:rsidRDefault="00AF2646">
      <w:r>
        <w:separator/>
      </w:r>
    </w:p>
  </w:footnote>
  <w:footnote w:type="continuationSeparator" w:id="0">
    <w:p w14:paraId="68D8115B" w14:textId="77777777" w:rsidR="00AF2646" w:rsidRDefault="00AF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E00B9EA" w14:textId="77777777" w:rsidTr="00952E48">
      <w:tc>
        <w:tcPr>
          <w:tcW w:w="900" w:type="dxa"/>
        </w:tcPr>
        <w:p w14:paraId="7B32E62B" w14:textId="77777777" w:rsidR="001867E9" w:rsidRDefault="007B0324">
          <w:pPr>
            <w:tabs>
              <w:tab w:val="left" w:pos="720"/>
              <w:tab w:val="left" w:pos="900"/>
              <w:tab w:val="left" w:pos="1260"/>
              <w:tab w:val="left" w:pos="1980"/>
            </w:tabs>
          </w:pPr>
          <w:r>
            <w:rPr>
              <w:noProof/>
              <w:color w:val="205394"/>
            </w:rPr>
            <w:drawing>
              <wp:inline distT="0" distB="0" distL="0" distR="0" wp14:anchorId="6BC74908" wp14:editId="57499FFB">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6AB4F542"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3B31C5B6" w14:textId="77777777" w:rsidR="001867E9" w:rsidRDefault="001867E9">
          <w:pPr>
            <w:tabs>
              <w:tab w:val="left" w:pos="720"/>
              <w:tab w:val="left" w:pos="900"/>
              <w:tab w:val="left" w:pos="1260"/>
              <w:tab w:val="left" w:pos="1980"/>
            </w:tabs>
          </w:pPr>
        </w:p>
      </w:tc>
      <w:tc>
        <w:tcPr>
          <w:tcW w:w="4604" w:type="dxa"/>
          <w:vAlign w:val="bottom"/>
        </w:tcPr>
        <w:p w14:paraId="7F7A9DB2" w14:textId="77777777" w:rsidR="001867E9" w:rsidRDefault="001867E9">
          <w:pPr>
            <w:rPr>
              <w:rFonts w:ascii="Futura LT Light" w:hAnsi="Futura LT Light"/>
              <w:color w:val="00247E"/>
              <w:sz w:val="20"/>
              <w:szCs w:val="20"/>
            </w:rPr>
          </w:pPr>
        </w:p>
      </w:tc>
    </w:tr>
    <w:tr w:rsidR="001867E9" w14:paraId="70AA4FD8" w14:textId="77777777" w:rsidTr="00952E48">
      <w:tc>
        <w:tcPr>
          <w:tcW w:w="900" w:type="dxa"/>
        </w:tcPr>
        <w:p w14:paraId="1CE9106A" w14:textId="77777777" w:rsidR="001867E9" w:rsidRDefault="001867E9">
          <w:pPr>
            <w:tabs>
              <w:tab w:val="left" w:pos="720"/>
              <w:tab w:val="left" w:pos="900"/>
              <w:tab w:val="left" w:pos="1260"/>
              <w:tab w:val="left" w:pos="1980"/>
            </w:tabs>
          </w:pPr>
        </w:p>
      </w:tc>
      <w:tc>
        <w:tcPr>
          <w:tcW w:w="5421" w:type="dxa"/>
        </w:tcPr>
        <w:p w14:paraId="34277425"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89F8DC6" w14:textId="77777777" w:rsidR="001867E9" w:rsidRDefault="001867E9">
          <w:pPr>
            <w:tabs>
              <w:tab w:val="left" w:pos="720"/>
              <w:tab w:val="left" w:pos="900"/>
              <w:tab w:val="left" w:pos="1260"/>
              <w:tab w:val="left" w:pos="1980"/>
            </w:tabs>
          </w:pPr>
        </w:p>
      </w:tc>
      <w:tc>
        <w:tcPr>
          <w:tcW w:w="4604" w:type="dxa"/>
        </w:tcPr>
        <w:p w14:paraId="4C0ED911" w14:textId="77777777" w:rsidR="001867E9" w:rsidRDefault="001867E9">
          <w:pPr>
            <w:tabs>
              <w:tab w:val="left" w:pos="720"/>
              <w:tab w:val="left" w:pos="900"/>
              <w:tab w:val="left" w:pos="1260"/>
              <w:tab w:val="left" w:pos="1980"/>
            </w:tabs>
          </w:pPr>
        </w:p>
      </w:tc>
    </w:tr>
  </w:tbl>
  <w:p w14:paraId="50C5F62C"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EC0CB5"/>
    <w:multiLevelType w:val="hybridMultilevel"/>
    <w:tmpl w:val="751E76B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8DE0175"/>
    <w:multiLevelType w:val="hybridMultilevel"/>
    <w:tmpl w:val="FEF47AEE"/>
    <w:lvl w:ilvl="0" w:tplc="EF2AC8EE">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F591DFB"/>
    <w:multiLevelType w:val="multilevel"/>
    <w:tmpl w:val="B64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558F8"/>
    <w:multiLevelType w:val="hybridMultilevel"/>
    <w:tmpl w:val="4D9E34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9071CC"/>
    <w:multiLevelType w:val="hybridMultilevel"/>
    <w:tmpl w:val="F9A60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FB6256"/>
    <w:multiLevelType w:val="hybridMultilevel"/>
    <w:tmpl w:val="848C4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
  </w:num>
  <w:num w:numId="2">
    <w:abstractNumId w:val="20"/>
  </w:num>
  <w:num w:numId="3">
    <w:abstractNumId w:val="5"/>
  </w:num>
  <w:num w:numId="4">
    <w:abstractNumId w:val="26"/>
  </w:num>
  <w:num w:numId="5">
    <w:abstractNumId w:val="28"/>
  </w:num>
  <w:num w:numId="6">
    <w:abstractNumId w:val="6"/>
  </w:num>
  <w:num w:numId="7">
    <w:abstractNumId w:val="15"/>
  </w:num>
  <w:num w:numId="8">
    <w:abstractNumId w:val="23"/>
  </w:num>
  <w:num w:numId="9">
    <w:abstractNumId w:val="19"/>
  </w:num>
  <w:num w:numId="10">
    <w:abstractNumId w:val="8"/>
  </w:num>
  <w:num w:numId="11">
    <w:abstractNumId w:val="27"/>
  </w:num>
  <w:num w:numId="12">
    <w:abstractNumId w:val="11"/>
  </w:num>
  <w:num w:numId="13">
    <w:abstractNumId w:val="10"/>
  </w:num>
  <w:num w:numId="14">
    <w:abstractNumId w:val="22"/>
  </w:num>
  <w:num w:numId="15">
    <w:abstractNumId w:val="29"/>
  </w:num>
  <w:num w:numId="16">
    <w:abstractNumId w:val="3"/>
  </w:num>
  <w:num w:numId="17">
    <w:abstractNumId w:val="25"/>
  </w:num>
  <w:num w:numId="18">
    <w:abstractNumId w:val="7"/>
  </w:num>
  <w:num w:numId="19">
    <w:abstractNumId w:val="16"/>
  </w:num>
  <w:num w:numId="20">
    <w:abstractNumId w:val="1"/>
  </w:num>
  <w:num w:numId="21">
    <w:abstractNumId w:val="24"/>
  </w:num>
  <w:num w:numId="22">
    <w:abstractNumId w:val="0"/>
  </w:num>
  <w:num w:numId="23">
    <w:abstractNumId w:val="17"/>
  </w:num>
  <w:num w:numId="24">
    <w:abstractNumId w:val="12"/>
  </w:num>
  <w:num w:numId="25">
    <w:abstractNumId w:val="4"/>
  </w:num>
  <w:num w:numId="26">
    <w:abstractNumId w:val="14"/>
  </w:num>
  <w:num w:numId="27">
    <w:abstractNumId w:val="9"/>
  </w:num>
  <w:num w:numId="28">
    <w:abstractNumId w:val="13"/>
  </w:num>
  <w:num w:numId="29">
    <w:abstractNumId w:val="21"/>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418"/>
    <w:rsid w:val="00000911"/>
    <w:rsid w:val="000018C4"/>
    <w:rsid w:val="0000679D"/>
    <w:rsid w:val="000107F9"/>
    <w:rsid w:val="00012D58"/>
    <w:rsid w:val="00014CFE"/>
    <w:rsid w:val="00015150"/>
    <w:rsid w:val="0001553C"/>
    <w:rsid w:val="00015A06"/>
    <w:rsid w:val="00017F8A"/>
    <w:rsid w:val="00022C88"/>
    <w:rsid w:val="00031409"/>
    <w:rsid w:val="00031C9A"/>
    <w:rsid w:val="00036369"/>
    <w:rsid w:val="00037418"/>
    <w:rsid w:val="00040563"/>
    <w:rsid w:val="00040CFB"/>
    <w:rsid w:val="00040E13"/>
    <w:rsid w:val="000430F9"/>
    <w:rsid w:val="000504FC"/>
    <w:rsid w:val="00050790"/>
    <w:rsid w:val="000508B8"/>
    <w:rsid w:val="00051C34"/>
    <w:rsid w:val="00052071"/>
    <w:rsid w:val="00052711"/>
    <w:rsid w:val="000539CB"/>
    <w:rsid w:val="00055C3C"/>
    <w:rsid w:val="00057F65"/>
    <w:rsid w:val="0006625B"/>
    <w:rsid w:val="00067E67"/>
    <w:rsid w:val="000735F4"/>
    <w:rsid w:val="000736F9"/>
    <w:rsid w:val="00074106"/>
    <w:rsid w:val="00076E3E"/>
    <w:rsid w:val="00084269"/>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75D4"/>
    <w:rsid w:val="00100ED7"/>
    <w:rsid w:val="00102C5A"/>
    <w:rsid w:val="001031E9"/>
    <w:rsid w:val="00115A2B"/>
    <w:rsid w:val="0012199E"/>
    <w:rsid w:val="00121D8E"/>
    <w:rsid w:val="00123130"/>
    <w:rsid w:val="0013046D"/>
    <w:rsid w:val="0013094C"/>
    <w:rsid w:val="0013516E"/>
    <w:rsid w:val="0013518B"/>
    <w:rsid w:val="00142577"/>
    <w:rsid w:val="00147E07"/>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14DC"/>
    <w:rsid w:val="001D4E62"/>
    <w:rsid w:val="001D535B"/>
    <w:rsid w:val="001D7618"/>
    <w:rsid w:val="001D7F3D"/>
    <w:rsid w:val="001E08BB"/>
    <w:rsid w:val="001E19DF"/>
    <w:rsid w:val="001E3E0D"/>
    <w:rsid w:val="001E4FE6"/>
    <w:rsid w:val="001E720B"/>
    <w:rsid w:val="001F5160"/>
    <w:rsid w:val="001F57A6"/>
    <w:rsid w:val="001F7A14"/>
    <w:rsid w:val="00202F9D"/>
    <w:rsid w:val="00203224"/>
    <w:rsid w:val="002043B0"/>
    <w:rsid w:val="00207C24"/>
    <w:rsid w:val="00210372"/>
    <w:rsid w:val="00210ED4"/>
    <w:rsid w:val="002131BC"/>
    <w:rsid w:val="002161EA"/>
    <w:rsid w:val="002166C4"/>
    <w:rsid w:val="002173D8"/>
    <w:rsid w:val="0022003E"/>
    <w:rsid w:val="0022169F"/>
    <w:rsid w:val="00234FFA"/>
    <w:rsid w:val="00235BB7"/>
    <w:rsid w:val="002369AB"/>
    <w:rsid w:val="00237B46"/>
    <w:rsid w:val="00243355"/>
    <w:rsid w:val="00243A70"/>
    <w:rsid w:val="00251D4B"/>
    <w:rsid w:val="00254B89"/>
    <w:rsid w:val="00256DDA"/>
    <w:rsid w:val="00261DFC"/>
    <w:rsid w:val="00261EB5"/>
    <w:rsid w:val="00263DC8"/>
    <w:rsid w:val="00263ECC"/>
    <w:rsid w:val="00267AF5"/>
    <w:rsid w:val="002706DC"/>
    <w:rsid w:val="002743A5"/>
    <w:rsid w:val="0027733B"/>
    <w:rsid w:val="00281D98"/>
    <w:rsid w:val="002864AB"/>
    <w:rsid w:val="002878D5"/>
    <w:rsid w:val="002923C6"/>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237F"/>
    <w:rsid w:val="002E3DC7"/>
    <w:rsid w:val="002E6FBF"/>
    <w:rsid w:val="002E7598"/>
    <w:rsid w:val="002F173E"/>
    <w:rsid w:val="002F418F"/>
    <w:rsid w:val="002F42D1"/>
    <w:rsid w:val="002F4384"/>
    <w:rsid w:val="002F577A"/>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30A8"/>
    <w:rsid w:val="00355CF5"/>
    <w:rsid w:val="0035760C"/>
    <w:rsid w:val="0036132A"/>
    <w:rsid w:val="00361447"/>
    <w:rsid w:val="0036390C"/>
    <w:rsid w:val="00363E3E"/>
    <w:rsid w:val="00366AF0"/>
    <w:rsid w:val="00366DB7"/>
    <w:rsid w:val="00370580"/>
    <w:rsid w:val="003756AB"/>
    <w:rsid w:val="00376950"/>
    <w:rsid w:val="00376AC3"/>
    <w:rsid w:val="00381A37"/>
    <w:rsid w:val="00381EA8"/>
    <w:rsid w:val="00384464"/>
    <w:rsid w:val="0038664E"/>
    <w:rsid w:val="00391B52"/>
    <w:rsid w:val="00392FD4"/>
    <w:rsid w:val="003935F3"/>
    <w:rsid w:val="00395256"/>
    <w:rsid w:val="0039681E"/>
    <w:rsid w:val="003A376E"/>
    <w:rsid w:val="003A3AF4"/>
    <w:rsid w:val="003A79EB"/>
    <w:rsid w:val="003B232D"/>
    <w:rsid w:val="003B2A5D"/>
    <w:rsid w:val="003B4D06"/>
    <w:rsid w:val="003B5C6C"/>
    <w:rsid w:val="003B6F61"/>
    <w:rsid w:val="003C2FA9"/>
    <w:rsid w:val="003C5532"/>
    <w:rsid w:val="003C6CDD"/>
    <w:rsid w:val="003D27AD"/>
    <w:rsid w:val="003D5B6A"/>
    <w:rsid w:val="003E4FF5"/>
    <w:rsid w:val="003F06ED"/>
    <w:rsid w:val="003F182D"/>
    <w:rsid w:val="003F193E"/>
    <w:rsid w:val="003F1DA7"/>
    <w:rsid w:val="003F304D"/>
    <w:rsid w:val="003F4FCA"/>
    <w:rsid w:val="00400D03"/>
    <w:rsid w:val="0040107B"/>
    <w:rsid w:val="00401099"/>
    <w:rsid w:val="004016F0"/>
    <w:rsid w:val="00406030"/>
    <w:rsid w:val="00410350"/>
    <w:rsid w:val="00416468"/>
    <w:rsid w:val="004166FC"/>
    <w:rsid w:val="00416739"/>
    <w:rsid w:val="004176D9"/>
    <w:rsid w:val="00421C81"/>
    <w:rsid w:val="00422AFC"/>
    <w:rsid w:val="0042628C"/>
    <w:rsid w:val="004310C8"/>
    <w:rsid w:val="0043172E"/>
    <w:rsid w:val="00431A31"/>
    <w:rsid w:val="004334F8"/>
    <w:rsid w:val="00434368"/>
    <w:rsid w:val="004367B1"/>
    <w:rsid w:val="00442941"/>
    <w:rsid w:val="00444823"/>
    <w:rsid w:val="004505AF"/>
    <w:rsid w:val="00452C6F"/>
    <w:rsid w:val="004533F1"/>
    <w:rsid w:val="00453F9C"/>
    <w:rsid w:val="004545E4"/>
    <w:rsid w:val="00460490"/>
    <w:rsid w:val="00460B90"/>
    <w:rsid w:val="004703A2"/>
    <w:rsid w:val="00472D2B"/>
    <w:rsid w:val="00473B65"/>
    <w:rsid w:val="00474617"/>
    <w:rsid w:val="0048380D"/>
    <w:rsid w:val="00484727"/>
    <w:rsid w:val="0049009F"/>
    <w:rsid w:val="00490346"/>
    <w:rsid w:val="00492040"/>
    <w:rsid w:val="00492B5B"/>
    <w:rsid w:val="00494647"/>
    <w:rsid w:val="00495AA2"/>
    <w:rsid w:val="00496EE7"/>
    <w:rsid w:val="004A1967"/>
    <w:rsid w:val="004A2834"/>
    <w:rsid w:val="004A62F1"/>
    <w:rsid w:val="004A6DD6"/>
    <w:rsid w:val="004B34AC"/>
    <w:rsid w:val="004B6757"/>
    <w:rsid w:val="004B6949"/>
    <w:rsid w:val="004B7346"/>
    <w:rsid w:val="004C2CC8"/>
    <w:rsid w:val="004C674B"/>
    <w:rsid w:val="004D0745"/>
    <w:rsid w:val="004D0D80"/>
    <w:rsid w:val="004D11B2"/>
    <w:rsid w:val="004D1867"/>
    <w:rsid w:val="004D48E8"/>
    <w:rsid w:val="004D4C6D"/>
    <w:rsid w:val="004D6689"/>
    <w:rsid w:val="004D74A6"/>
    <w:rsid w:val="004E0327"/>
    <w:rsid w:val="004E072C"/>
    <w:rsid w:val="004E4D74"/>
    <w:rsid w:val="004E651F"/>
    <w:rsid w:val="004E6896"/>
    <w:rsid w:val="004F1D5D"/>
    <w:rsid w:val="004F2ABA"/>
    <w:rsid w:val="004F6EDA"/>
    <w:rsid w:val="00500EA1"/>
    <w:rsid w:val="00511542"/>
    <w:rsid w:val="00511A18"/>
    <w:rsid w:val="00512035"/>
    <w:rsid w:val="00512468"/>
    <w:rsid w:val="00513E65"/>
    <w:rsid w:val="0051764A"/>
    <w:rsid w:val="00523407"/>
    <w:rsid w:val="00524EFB"/>
    <w:rsid w:val="00526E6C"/>
    <w:rsid w:val="00530CE2"/>
    <w:rsid w:val="00531CA4"/>
    <w:rsid w:val="005346F7"/>
    <w:rsid w:val="0053609D"/>
    <w:rsid w:val="0053678B"/>
    <w:rsid w:val="005368B1"/>
    <w:rsid w:val="00537F82"/>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05CE"/>
    <w:rsid w:val="005A192E"/>
    <w:rsid w:val="005A29F4"/>
    <w:rsid w:val="005A5E55"/>
    <w:rsid w:val="005B0A5E"/>
    <w:rsid w:val="005B0AAD"/>
    <w:rsid w:val="005B305A"/>
    <w:rsid w:val="005B606F"/>
    <w:rsid w:val="005B700F"/>
    <w:rsid w:val="005C2A8D"/>
    <w:rsid w:val="005C51D8"/>
    <w:rsid w:val="005C626A"/>
    <w:rsid w:val="005C6386"/>
    <w:rsid w:val="005C760F"/>
    <w:rsid w:val="005D46EE"/>
    <w:rsid w:val="005E2816"/>
    <w:rsid w:val="005E458A"/>
    <w:rsid w:val="005E5DA8"/>
    <w:rsid w:val="005F4278"/>
    <w:rsid w:val="00606744"/>
    <w:rsid w:val="00607CBF"/>
    <w:rsid w:val="00611889"/>
    <w:rsid w:val="00621DA9"/>
    <w:rsid w:val="006220A1"/>
    <w:rsid w:val="00624B5A"/>
    <w:rsid w:val="00630AEF"/>
    <w:rsid w:val="00632F96"/>
    <w:rsid w:val="00634F20"/>
    <w:rsid w:val="00636216"/>
    <w:rsid w:val="006369D8"/>
    <w:rsid w:val="006411A6"/>
    <w:rsid w:val="00641A35"/>
    <w:rsid w:val="00641CBB"/>
    <w:rsid w:val="00641D27"/>
    <w:rsid w:val="00642A8C"/>
    <w:rsid w:val="00642F84"/>
    <w:rsid w:val="00645EDE"/>
    <w:rsid w:val="00650D6B"/>
    <w:rsid w:val="0065619B"/>
    <w:rsid w:val="00657B1A"/>
    <w:rsid w:val="00660F83"/>
    <w:rsid w:val="006651C6"/>
    <w:rsid w:val="00670405"/>
    <w:rsid w:val="0067055C"/>
    <w:rsid w:val="0067483E"/>
    <w:rsid w:val="0067573D"/>
    <w:rsid w:val="00677621"/>
    <w:rsid w:val="0068142C"/>
    <w:rsid w:val="00690E9B"/>
    <w:rsid w:val="00691177"/>
    <w:rsid w:val="00691D13"/>
    <w:rsid w:val="00696918"/>
    <w:rsid w:val="006A01F4"/>
    <w:rsid w:val="006A0AE9"/>
    <w:rsid w:val="006A30FE"/>
    <w:rsid w:val="006A528D"/>
    <w:rsid w:val="006B0391"/>
    <w:rsid w:val="006B1B03"/>
    <w:rsid w:val="006B1BBB"/>
    <w:rsid w:val="006B64C4"/>
    <w:rsid w:val="006B6715"/>
    <w:rsid w:val="006B7428"/>
    <w:rsid w:val="006C5530"/>
    <w:rsid w:val="006C6C8E"/>
    <w:rsid w:val="006D10EF"/>
    <w:rsid w:val="006D3209"/>
    <w:rsid w:val="006D7078"/>
    <w:rsid w:val="006D7D28"/>
    <w:rsid w:val="006E1171"/>
    <w:rsid w:val="006E5B05"/>
    <w:rsid w:val="006E6B13"/>
    <w:rsid w:val="006F14A3"/>
    <w:rsid w:val="006F159B"/>
    <w:rsid w:val="0070006D"/>
    <w:rsid w:val="00701962"/>
    <w:rsid w:val="007021CD"/>
    <w:rsid w:val="00706AB7"/>
    <w:rsid w:val="00716959"/>
    <w:rsid w:val="0071788E"/>
    <w:rsid w:val="00720E4A"/>
    <w:rsid w:val="00722AFA"/>
    <w:rsid w:val="00725DFF"/>
    <w:rsid w:val="0073518B"/>
    <w:rsid w:val="00737A10"/>
    <w:rsid w:val="0074024E"/>
    <w:rsid w:val="00740910"/>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817A1"/>
    <w:rsid w:val="007824AD"/>
    <w:rsid w:val="00782D77"/>
    <w:rsid w:val="00783E6E"/>
    <w:rsid w:val="00784957"/>
    <w:rsid w:val="00784FF1"/>
    <w:rsid w:val="00790109"/>
    <w:rsid w:val="00790709"/>
    <w:rsid w:val="00790738"/>
    <w:rsid w:val="007A1752"/>
    <w:rsid w:val="007A2C7C"/>
    <w:rsid w:val="007A2EEF"/>
    <w:rsid w:val="007A5943"/>
    <w:rsid w:val="007A7B0B"/>
    <w:rsid w:val="007B0324"/>
    <w:rsid w:val="007B0628"/>
    <w:rsid w:val="007B1096"/>
    <w:rsid w:val="007B2520"/>
    <w:rsid w:val="007B3AA0"/>
    <w:rsid w:val="007B3CAB"/>
    <w:rsid w:val="007B3DEB"/>
    <w:rsid w:val="007B4FE7"/>
    <w:rsid w:val="007B6EEB"/>
    <w:rsid w:val="007B72D4"/>
    <w:rsid w:val="007B7D2A"/>
    <w:rsid w:val="007C698A"/>
    <w:rsid w:val="007D1B92"/>
    <w:rsid w:val="007D663A"/>
    <w:rsid w:val="007D7A85"/>
    <w:rsid w:val="007E0603"/>
    <w:rsid w:val="007E0A55"/>
    <w:rsid w:val="007E1EAD"/>
    <w:rsid w:val="007E44FD"/>
    <w:rsid w:val="007E4A43"/>
    <w:rsid w:val="007E5057"/>
    <w:rsid w:val="007E6FF8"/>
    <w:rsid w:val="007E7D8E"/>
    <w:rsid w:val="007F3972"/>
    <w:rsid w:val="007F61DB"/>
    <w:rsid w:val="00802472"/>
    <w:rsid w:val="0081114B"/>
    <w:rsid w:val="008127E1"/>
    <w:rsid w:val="00813BAD"/>
    <w:rsid w:val="00815CB3"/>
    <w:rsid w:val="00822FD9"/>
    <w:rsid w:val="00824701"/>
    <w:rsid w:val="00830EB0"/>
    <w:rsid w:val="0083119A"/>
    <w:rsid w:val="008317A5"/>
    <w:rsid w:val="00836750"/>
    <w:rsid w:val="008433BB"/>
    <w:rsid w:val="00847ACF"/>
    <w:rsid w:val="00850549"/>
    <w:rsid w:val="00853B99"/>
    <w:rsid w:val="00861348"/>
    <w:rsid w:val="008624CD"/>
    <w:rsid w:val="0088152F"/>
    <w:rsid w:val="008828D8"/>
    <w:rsid w:val="00884E03"/>
    <w:rsid w:val="00885913"/>
    <w:rsid w:val="0088738D"/>
    <w:rsid w:val="008878E3"/>
    <w:rsid w:val="00892040"/>
    <w:rsid w:val="00895D5A"/>
    <w:rsid w:val="008A3087"/>
    <w:rsid w:val="008A4AA1"/>
    <w:rsid w:val="008A51D5"/>
    <w:rsid w:val="008A532D"/>
    <w:rsid w:val="008A559C"/>
    <w:rsid w:val="008A5F76"/>
    <w:rsid w:val="008A61FC"/>
    <w:rsid w:val="008A6ACD"/>
    <w:rsid w:val="008A6BD8"/>
    <w:rsid w:val="008B4111"/>
    <w:rsid w:val="008B4820"/>
    <w:rsid w:val="008B79BC"/>
    <w:rsid w:val="008C1069"/>
    <w:rsid w:val="008C32CD"/>
    <w:rsid w:val="008C54AE"/>
    <w:rsid w:val="008C6FB9"/>
    <w:rsid w:val="008D2770"/>
    <w:rsid w:val="008E2DCC"/>
    <w:rsid w:val="008E4388"/>
    <w:rsid w:val="008E731C"/>
    <w:rsid w:val="008E7E36"/>
    <w:rsid w:val="008F179C"/>
    <w:rsid w:val="008F1C06"/>
    <w:rsid w:val="008F28C1"/>
    <w:rsid w:val="008F3959"/>
    <w:rsid w:val="008F7B14"/>
    <w:rsid w:val="00902B38"/>
    <w:rsid w:val="0090616B"/>
    <w:rsid w:val="00911219"/>
    <w:rsid w:val="00913BDA"/>
    <w:rsid w:val="00914796"/>
    <w:rsid w:val="00914BC8"/>
    <w:rsid w:val="00915E60"/>
    <w:rsid w:val="00923DFD"/>
    <w:rsid w:val="00927143"/>
    <w:rsid w:val="009365B8"/>
    <w:rsid w:val="009401CD"/>
    <w:rsid w:val="009431DB"/>
    <w:rsid w:val="00944494"/>
    <w:rsid w:val="00952818"/>
    <w:rsid w:val="00952E48"/>
    <w:rsid w:val="00957C7D"/>
    <w:rsid w:val="009619C7"/>
    <w:rsid w:val="00961CD5"/>
    <w:rsid w:val="0096229E"/>
    <w:rsid w:val="0096394C"/>
    <w:rsid w:val="00967EB0"/>
    <w:rsid w:val="009708E5"/>
    <w:rsid w:val="00971A5B"/>
    <w:rsid w:val="00972881"/>
    <w:rsid w:val="00980756"/>
    <w:rsid w:val="00981F5E"/>
    <w:rsid w:val="0098612D"/>
    <w:rsid w:val="0099127D"/>
    <w:rsid w:val="00991709"/>
    <w:rsid w:val="00993CEA"/>
    <w:rsid w:val="009A04D3"/>
    <w:rsid w:val="009A08E6"/>
    <w:rsid w:val="009A104E"/>
    <w:rsid w:val="009A1912"/>
    <w:rsid w:val="009A3967"/>
    <w:rsid w:val="009A3DAF"/>
    <w:rsid w:val="009B2618"/>
    <w:rsid w:val="009B33F9"/>
    <w:rsid w:val="009B3D7A"/>
    <w:rsid w:val="009B68D8"/>
    <w:rsid w:val="009C0D76"/>
    <w:rsid w:val="009C144D"/>
    <w:rsid w:val="009C20F3"/>
    <w:rsid w:val="009C220D"/>
    <w:rsid w:val="009C39C6"/>
    <w:rsid w:val="009D26C3"/>
    <w:rsid w:val="009D4308"/>
    <w:rsid w:val="009D434D"/>
    <w:rsid w:val="009D4D86"/>
    <w:rsid w:val="009D585F"/>
    <w:rsid w:val="009D59C3"/>
    <w:rsid w:val="009E0ABE"/>
    <w:rsid w:val="009E1885"/>
    <w:rsid w:val="009E1B7C"/>
    <w:rsid w:val="009E47B9"/>
    <w:rsid w:val="009E7085"/>
    <w:rsid w:val="009E718E"/>
    <w:rsid w:val="009F0021"/>
    <w:rsid w:val="009F195B"/>
    <w:rsid w:val="009F1995"/>
    <w:rsid w:val="009F2C5C"/>
    <w:rsid w:val="009F3F5A"/>
    <w:rsid w:val="009F47D2"/>
    <w:rsid w:val="009F5BE4"/>
    <w:rsid w:val="009F71A5"/>
    <w:rsid w:val="009F7A9A"/>
    <w:rsid w:val="00A07187"/>
    <w:rsid w:val="00A109EC"/>
    <w:rsid w:val="00A12070"/>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28FA"/>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74C20"/>
    <w:rsid w:val="00A8200F"/>
    <w:rsid w:val="00A86D9E"/>
    <w:rsid w:val="00A96510"/>
    <w:rsid w:val="00AA1828"/>
    <w:rsid w:val="00AB09E7"/>
    <w:rsid w:val="00AB4673"/>
    <w:rsid w:val="00AB4A29"/>
    <w:rsid w:val="00AB5056"/>
    <w:rsid w:val="00AB76C9"/>
    <w:rsid w:val="00AC0DAC"/>
    <w:rsid w:val="00AC4EC4"/>
    <w:rsid w:val="00AC5188"/>
    <w:rsid w:val="00AC5B79"/>
    <w:rsid w:val="00AC77EF"/>
    <w:rsid w:val="00AD0111"/>
    <w:rsid w:val="00AD2F59"/>
    <w:rsid w:val="00AD42CB"/>
    <w:rsid w:val="00AD5342"/>
    <w:rsid w:val="00AE5E17"/>
    <w:rsid w:val="00AE67ED"/>
    <w:rsid w:val="00AF2646"/>
    <w:rsid w:val="00AF303A"/>
    <w:rsid w:val="00AF42B8"/>
    <w:rsid w:val="00AF6A90"/>
    <w:rsid w:val="00B010C0"/>
    <w:rsid w:val="00B01369"/>
    <w:rsid w:val="00B027C9"/>
    <w:rsid w:val="00B03F64"/>
    <w:rsid w:val="00B06254"/>
    <w:rsid w:val="00B076BA"/>
    <w:rsid w:val="00B10455"/>
    <w:rsid w:val="00B152C7"/>
    <w:rsid w:val="00B164DF"/>
    <w:rsid w:val="00B17687"/>
    <w:rsid w:val="00B20F3A"/>
    <w:rsid w:val="00B2198F"/>
    <w:rsid w:val="00B2409D"/>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7C5"/>
    <w:rsid w:val="00B61D0C"/>
    <w:rsid w:val="00B632E8"/>
    <w:rsid w:val="00B67B27"/>
    <w:rsid w:val="00B67D14"/>
    <w:rsid w:val="00B67E82"/>
    <w:rsid w:val="00B80122"/>
    <w:rsid w:val="00B85B42"/>
    <w:rsid w:val="00B85F00"/>
    <w:rsid w:val="00B86A1D"/>
    <w:rsid w:val="00B872CD"/>
    <w:rsid w:val="00B90553"/>
    <w:rsid w:val="00B92C4C"/>
    <w:rsid w:val="00B93351"/>
    <w:rsid w:val="00B9442C"/>
    <w:rsid w:val="00B94EBE"/>
    <w:rsid w:val="00B9741A"/>
    <w:rsid w:val="00B9787B"/>
    <w:rsid w:val="00B97A78"/>
    <w:rsid w:val="00BA23CA"/>
    <w:rsid w:val="00BA4A5B"/>
    <w:rsid w:val="00BA572A"/>
    <w:rsid w:val="00BB2068"/>
    <w:rsid w:val="00BB3AFB"/>
    <w:rsid w:val="00BB5371"/>
    <w:rsid w:val="00BB7D4D"/>
    <w:rsid w:val="00BC0005"/>
    <w:rsid w:val="00BC1DBB"/>
    <w:rsid w:val="00BC352B"/>
    <w:rsid w:val="00BC42DE"/>
    <w:rsid w:val="00BC4801"/>
    <w:rsid w:val="00BC491F"/>
    <w:rsid w:val="00BC5A97"/>
    <w:rsid w:val="00BC6719"/>
    <w:rsid w:val="00BD2844"/>
    <w:rsid w:val="00BD6B2A"/>
    <w:rsid w:val="00BD790B"/>
    <w:rsid w:val="00BE0E09"/>
    <w:rsid w:val="00BE26C8"/>
    <w:rsid w:val="00BE29FF"/>
    <w:rsid w:val="00BE5B35"/>
    <w:rsid w:val="00BE7FEC"/>
    <w:rsid w:val="00BF117A"/>
    <w:rsid w:val="00BF67A4"/>
    <w:rsid w:val="00C02FEE"/>
    <w:rsid w:val="00C07ECE"/>
    <w:rsid w:val="00C14544"/>
    <w:rsid w:val="00C145E0"/>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57B81"/>
    <w:rsid w:val="00C6024D"/>
    <w:rsid w:val="00C61786"/>
    <w:rsid w:val="00C6213F"/>
    <w:rsid w:val="00C62C05"/>
    <w:rsid w:val="00C62E67"/>
    <w:rsid w:val="00C630F4"/>
    <w:rsid w:val="00C651B9"/>
    <w:rsid w:val="00C66984"/>
    <w:rsid w:val="00C75725"/>
    <w:rsid w:val="00C77960"/>
    <w:rsid w:val="00C77D6E"/>
    <w:rsid w:val="00C80FD8"/>
    <w:rsid w:val="00C84B45"/>
    <w:rsid w:val="00C85EBB"/>
    <w:rsid w:val="00C90998"/>
    <w:rsid w:val="00C9219E"/>
    <w:rsid w:val="00C9299B"/>
    <w:rsid w:val="00C95987"/>
    <w:rsid w:val="00CA5FB4"/>
    <w:rsid w:val="00CA7173"/>
    <w:rsid w:val="00CB1898"/>
    <w:rsid w:val="00CB1DB9"/>
    <w:rsid w:val="00CB7ED3"/>
    <w:rsid w:val="00CC42BA"/>
    <w:rsid w:val="00CC65FE"/>
    <w:rsid w:val="00CC77DE"/>
    <w:rsid w:val="00CD2AF3"/>
    <w:rsid w:val="00CD58FA"/>
    <w:rsid w:val="00CE39D3"/>
    <w:rsid w:val="00CF41FF"/>
    <w:rsid w:val="00CF4B21"/>
    <w:rsid w:val="00CF5FB8"/>
    <w:rsid w:val="00D00CF8"/>
    <w:rsid w:val="00D024F3"/>
    <w:rsid w:val="00D061EC"/>
    <w:rsid w:val="00D06A84"/>
    <w:rsid w:val="00D070C4"/>
    <w:rsid w:val="00D117B3"/>
    <w:rsid w:val="00D12F9A"/>
    <w:rsid w:val="00D13402"/>
    <w:rsid w:val="00D13D47"/>
    <w:rsid w:val="00D17CBA"/>
    <w:rsid w:val="00D21301"/>
    <w:rsid w:val="00D222D3"/>
    <w:rsid w:val="00D239FA"/>
    <w:rsid w:val="00D23ABA"/>
    <w:rsid w:val="00D23B2F"/>
    <w:rsid w:val="00D30672"/>
    <w:rsid w:val="00D31E87"/>
    <w:rsid w:val="00D32570"/>
    <w:rsid w:val="00D375A6"/>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E80"/>
    <w:rsid w:val="00D866DD"/>
    <w:rsid w:val="00D96A53"/>
    <w:rsid w:val="00D97A6E"/>
    <w:rsid w:val="00DA076B"/>
    <w:rsid w:val="00DA0DC7"/>
    <w:rsid w:val="00DA4A1A"/>
    <w:rsid w:val="00DA70EA"/>
    <w:rsid w:val="00DB29D5"/>
    <w:rsid w:val="00DB2C3D"/>
    <w:rsid w:val="00DC0ED4"/>
    <w:rsid w:val="00DC29E3"/>
    <w:rsid w:val="00DC30C3"/>
    <w:rsid w:val="00DC337A"/>
    <w:rsid w:val="00DC4356"/>
    <w:rsid w:val="00DC658D"/>
    <w:rsid w:val="00DC71FE"/>
    <w:rsid w:val="00DD1AAF"/>
    <w:rsid w:val="00DD1BF2"/>
    <w:rsid w:val="00DD5143"/>
    <w:rsid w:val="00DE4F13"/>
    <w:rsid w:val="00DF0987"/>
    <w:rsid w:val="00DF1400"/>
    <w:rsid w:val="00DF1E58"/>
    <w:rsid w:val="00DF20BC"/>
    <w:rsid w:val="00DF6A94"/>
    <w:rsid w:val="00E01359"/>
    <w:rsid w:val="00E03093"/>
    <w:rsid w:val="00E07431"/>
    <w:rsid w:val="00E07EC6"/>
    <w:rsid w:val="00E101E7"/>
    <w:rsid w:val="00E131C5"/>
    <w:rsid w:val="00E20570"/>
    <w:rsid w:val="00E22349"/>
    <w:rsid w:val="00E249A6"/>
    <w:rsid w:val="00E27901"/>
    <w:rsid w:val="00E30506"/>
    <w:rsid w:val="00E356A3"/>
    <w:rsid w:val="00E36C38"/>
    <w:rsid w:val="00E40217"/>
    <w:rsid w:val="00E404E3"/>
    <w:rsid w:val="00E43E1B"/>
    <w:rsid w:val="00E45294"/>
    <w:rsid w:val="00E4622B"/>
    <w:rsid w:val="00E5154F"/>
    <w:rsid w:val="00E52784"/>
    <w:rsid w:val="00E53B7E"/>
    <w:rsid w:val="00E541C3"/>
    <w:rsid w:val="00E55E46"/>
    <w:rsid w:val="00E57970"/>
    <w:rsid w:val="00E6586E"/>
    <w:rsid w:val="00E67BF7"/>
    <w:rsid w:val="00E71003"/>
    <w:rsid w:val="00E71463"/>
    <w:rsid w:val="00E7193C"/>
    <w:rsid w:val="00E71CEB"/>
    <w:rsid w:val="00E72283"/>
    <w:rsid w:val="00E72CAA"/>
    <w:rsid w:val="00E73686"/>
    <w:rsid w:val="00E74CD5"/>
    <w:rsid w:val="00E75519"/>
    <w:rsid w:val="00E763C8"/>
    <w:rsid w:val="00E77790"/>
    <w:rsid w:val="00E7791A"/>
    <w:rsid w:val="00E77BB0"/>
    <w:rsid w:val="00E80B9D"/>
    <w:rsid w:val="00E819C6"/>
    <w:rsid w:val="00E826CC"/>
    <w:rsid w:val="00E83A36"/>
    <w:rsid w:val="00E83D62"/>
    <w:rsid w:val="00E84B32"/>
    <w:rsid w:val="00E8622A"/>
    <w:rsid w:val="00E8699D"/>
    <w:rsid w:val="00E87E00"/>
    <w:rsid w:val="00E87E4B"/>
    <w:rsid w:val="00E914B0"/>
    <w:rsid w:val="00E919F0"/>
    <w:rsid w:val="00E92D70"/>
    <w:rsid w:val="00E97E08"/>
    <w:rsid w:val="00EA2925"/>
    <w:rsid w:val="00EA4465"/>
    <w:rsid w:val="00EA6C54"/>
    <w:rsid w:val="00EA76A7"/>
    <w:rsid w:val="00EB0A18"/>
    <w:rsid w:val="00EB1051"/>
    <w:rsid w:val="00EB2934"/>
    <w:rsid w:val="00EB3E71"/>
    <w:rsid w:val="00EB4BC5"/>
    <w:rsid w:val="00EB56F2"/>
    <w:rsid w:val="00EB5BB3"/>
    <w:rsid w:val="00EC0D5D"/>
    <w:rsid w:val="00EC375E"/>
    <w:rsid w:val="00EC3CE6"/>
    <w:rsid w:val="00EC56DD"/>
    <w:rsid w:val="00ED09FF"/>
    <w:rsid w:val="00ED1B22"/>
    <w:rsid w:val="00ED233A"/>
    <w:rsid w:val="00ED2B2A"/>
    <w:rsid w:val="00ED424D"/>
    <w:rsid w:val="00ED4F58"/>
    <w:rsid w:val="00ED575A"/>
    <w:rsid w:val="00EE08A2"/>
    <w:rsid w:val="00EE0CBC"/>
    <w:rsid w:val="00EF2630"/>
    <w:rsid w:val="00EF31A6"/>
    <w:rsid w:val="00EF461E"/>
    <w:rsid w:val="00EF4C6A"/>
    <w:rsid w:val="00F01340"/>
    <w:rsid w:val="00F01D5B"/>
    <w:rsid w:val="00F13FA5"/>
    <w:rsid w:val="00F14795"/>
    <w:rsid w:val="00F166F4"/>
    <w:rsid w:val="00F16711"/>
    <w:rsid w:val="00F17D91"/>
    <w:rsid w:val="00F22431"/>
    <w:rsid w:val="00F22F40"/>
    <w:rsid w:val="00F23D65"/>
    <w:rsid w:val="00F24FB7"/>
    <w:rsid w:val="00F27339"/>
    <w:rsid w:val="00F27AA6"/>
    <w:rsid w:val="00F30BA5"/>
    <w:rsid w:val="00F32D76"/>
    <w:rsid w:val="00F34F0E"/>
    <w:rsid w:val="00F35C4B"/>
    <w:rsid w:val="00F37B5B"/>
    <w:rsid w:val="00F41A87"/>
    <w:rsid w:val="00F43AC7"/>
    <w:rsid w:val="00F4663F"/>
    <w:rsid w:val="00F50044"/>
    <w:rsid w:val="00F53708"/>
    <w:rsid w:val="00F57A56"/>
    <w:rsid w:val="00F61B38"/>
    <w:rsid w:val="00F633F0"/>
    <w:rsid w:val="00F70E1C"/>
    <w:rsid w:val="00F74B11"/>
    <w:rsid w:val="00F81FDD"/>
    <w:rsid w:val="00F83938"/>
    <w:rsid w:val="00F84C9A"/>
    <w:rsid w:val="00F85B9A"/>
    <w:rsid w:val="00F862EA"/>
    <w:rsid w:val="00F9238F"/>
    <w:rsid w:val="00F95509"/>
    <w:rsid w:val="00F9565C"/>
    <w:rsid w:val="00FA044A"/>
    <w:rsid w:val="00FA09FD"/>
    <w:rsid w:val="00FA0C5F"/>
    <w:rsid w:val="00FA1372"/>
    <w:rsid w:val="00FA3C29"/>
    <w:rsid w:val="00FA565C"/>
    <w:rsid w:val="00FA570E"/>
    <w:rsid w:val="00FA5A48"/>
    <w:rsid w:val="00FA69E3"/>
    <w:rsid w:val="00FB228E"/>
    <w:rsid w:val="00FB2EA5"/>
    <w:rsid w:val="00FC11FE"/>
    <w:rsid w:val="00FC1C6C"/>
    <w:rsid w:val="00FC2ABC"/>
    <w:rsid w:val="00FC2D0F"/>
    <w:rsid w:val="00FC4498"/>
    <w:rsid w:val="00FC6CB9"/>
    <w:rsid w:val="00FC786F"/>
    <w:rsid w:val="00FD11EF"/>
    <w:rsid w:val="00FD3152"/>
    <w:rsid w:val="00FD4C30"/>
    <w:rsid w:val="00FD69E4"/>
    <w:rsid w:val="00FE43A3"/>
    <w:rsid w:val="00FE5149"/>
    <w:rsid w:val="00FE7DF2"/>
    <w:rsid w:val="00FF0C6B"/>
    <w:rsid w:val="00FF52B0"/>
    <w:rsid w:val="00FF6980"/>
    <w:rsid w:val="00FF78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875EF"/>
  <w15:docId w15:val="{5F14FA88-BB82-4430-9CA5-20EC22E5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E0CBC"/>
    <w:rPr>
      <w:rFonts w:ascii="Tahoma" w:hAnsi="Tahoma" w:cs="Tahoma"/>
      <w:sz w:val="16"/>
      <w:szCs w:val="16"/>
    </w:rPr>
  </w:style>
  <w:style w:type="paragraph" w:styleId="Intestazione">
    <w:name w:val="header"/>
    <w:basedOn w:val="Normale"/>
    <w:rsid w:val="00EE0CBC"/>
    <w:pPr>
      <w:tabs>
        <w:tab w:val="center" w:pos="4819"/>
        <w:tab w:val="right" w:pos="9638"/>
      </w:tabs>
    </w:pPr>
  </w:style>
  <w:style w:type="paragraph" w:styleId="Pidipagina">
    <w:name w:val="footer"/>
    <w:basedOn w:val="Normale"/>
    <w:rsid w:val="00EE0CBC"/>
    <w:pPr>
      <w:tabs>
        <w:tab w:val="center" w:pos="4819"/>
        <w:tab w:val="right" w:pos="9638"/>
      </w:tabs>
    </w:pPr>
  </w:style>
  <w:style w:type="character" w:styleId="Collegamentoipertestuale">
    <w:name w:val="Hyperlink"/>
    <w:basedOn w:val="Carpredefinitoparagrafo"/>
    <w:uiPriority w:val="99"/>
    <w:rsid w:val="00EE0CBC"/>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963">
      <w:bodyDiv w:val="1"/>
      <w:marLeft w:val="0"/>
      <w:marRight w:val="0"/>
      <w:marTop w:val="0"/>
      <w:marBottom w:val="0"/>
      <w:divBdr>
        <w:top w:val="none" w:sz="0" w:space="0" w:color="auto"/>
        <w:left w:val="none" w:sz="0" w:space="0" w:color="auto"/>
        <w:bottom w:val="none" w:sz="0" w:space="0" w:color="auto"/>
        <w:right w:val="none" w:sz="0" w:space="0" w:color="auto"/>
      </w:divBdr>
    </w:div>
    <w:div w:id="55933343">
      <w:bodyDiv w:val="1"/>
      <w:marLeft w:val="0"/>
      <w:marRight w:val="0"/>
      <w:marTop w:val="0"/>
      <w:marBottom w:val="0"/>
      <w:divBdr>
        <w:top w:val="none" w:sz="0" w:space="0" w:color="auto"/>
        <w:left w:val="none" w:sz="0" w:space="0" w:color="auto"/>
        <w:bottom w:val="none" w:sz="0" w:space="0" w:color="auto"/>
        <w:right w:val="none" w:sz="0" w:space="0" w:color="auto"/>
      </w:divBdr>
    </w:div>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4067140">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891427920">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995842095">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083258004">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299526845">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1327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118</TotalTime>
  <Pages>2</Pages>
  <Words>660</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hp</cp:lastModifiedBy>
  <cp:revision>17</cp:revision>
  <cp:lastPrinted>2019-12-30T11:26:00Z</cp:lastPrinted>
  <dcterms:created xsi:type="dcterms:W3CDTF">2020-03-27T13:50:00Z</dcterms:created>
  <dcterms:modified xsi:type="dcterms:W3CDTF">2020-05-06T17:48:00Z</dcterms:modified>
</cp:coreProperties>
</file>