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1C97" w14:textId="45E9A74F" w:rsidR="004208B0" w:rsidRPr="004208B0" w:rsidRDefault="00952E48" w:rsidP="004208B0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208B0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4208B0" w:rsidRPr="004208B0">
        <w:rPr>
          <w:rFonts w:asciiTheme="minorHAnsi" w:eastAsia="Calibri" w:hAnsiTheme="minorHAnsi" w:cs="Calibri"/>
          <w:b/>
          <w:sz w:val="22"/>
          <w:szCs w:val="22"/>
        </w:rPr>
        <w:t>DAS elettronico</w:t>
      </w:r>
      <w:r w:rsidR="008C56E6">
        <w:rPr>
          <w:rFonts w:asciiTheme="minorHAnsi" w:eastAsia="Calibri" w:hAnsiTheme="minorHAnsi" w:cs="Calibri"/>
          <w:b/>
          <w:sz w:val="22"/>
          <w:szCs w:val="22"/>
        </w:rPr>
        <w:t>: t</w:t>
      </w:r>
      <w:r w:rsidR="004208B0" w:rsidRPr="004208B0">
        <w:rPr>
          <w:rFonts w:asciiTheme="minorHAnsi" w:eastAsia="Calibri" w:hAnsiTheme="minorHAnsi" w:cs="Calibri"/>
          <w:b/>
          <w:sz w:val="22"/>
          <w:szCs w:val="22"/>
        </w:rPr>
        <w:t xml:space="preserve">empi e modalità di presentazione </w:t>
      </w:r>
    </w:p>
    <w:p w14:paraId="22319B75" w14:textId="77777777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64259FBC" w14:textId="5B4562B9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4208B0">
        <w:rPr>
          <w:rFonts w:asciiTheme="minorHAnsi" w:eastAsia="Calibri" w:hAnsiTheme="minorHAnsi" w:cs="Calibri"/>
          <w:bCs/>
          <w:sz w:val="22"/>
          <w:szCs w:val="22"/>
        </w:rPr>
        <w:t>Determinazione Agenzia delle Dogane del 10 maggio 2020</w:t>
      </w:r>
    </w:p>
    <w:p w14:paraId="126DCD09" w14:textId="20C5FA4F" w:rsid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620629E" w14:textId="77777777" w:rsidR="00E231BB" w:rsidRPr="004208B0" w:rsidRDefault="00E231BB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A448C8B" w14:textId="5B81B96E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208B0">
        <w:rPr>
          <w:rFonts w:asciiTheme="minorHAnsi" w:eastAsia="Calibri" w:hAnsiTheme="minorHAnsi" w:cs="Calibri"/>
          <w:sz w:val="22"/>
          <w:szCs w:val="22"/>
        </w:rPr>
        <w:t xml:space="preserve">ANITA informa che l’Agenzia delle Dogane, con la Determinazione </w:t>
      </w:r>
      <w:r w:rsidR="008C56E6">
        <w:rPr>
          <w:rFonts w:asciiTheme="minorHAnsi" w:eastAsia="Calibri" w:hAnsiTheme="minorHAnsi" w:cs="Calibri"/>
          <w:sz w:val="22"/>
          <w:szCs w:val="22"/>
        </w:rPr>
        <w:t xml:space="preserve">n. </w:t>
      </w:r>
      <w:r w:rsidR="008C56E6" w:rsidRPr="004208B0">
        <w:rPr>
          <w:rFonts w:asciiTheme="minorHAnsi" w:eastAsia="Calibri" w:hAnsiTheme="minorHAnsi" w:cs="Calibri"/>
          <w:bCs/>
          <w:sz w:val="22"/>
          <w:szCs w:val="22"/>
        </w:rPr>
        <w:t>138764/RU</w:t>
      </w:r>
      <w:r w:rsidRPr="004208B0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8C56E6" w:rsidRPr="008C56E6">
        <w:rPr>
          <w:rFonts w:asciiTheme="minorHAnsi" w:eastAsia="Calibri" w:hAnsiTheme="minorHAnsi" w:cs="Calibri"/>
          <w:b/>
          <w:bCs/>
          <w:sz w:val="22"/>
          <w:szCs w:val="22"/>
        </w:rPr>
        <w:t>allegata</w:t>
      </w:r>
      <w:r w:rsidR="008C56E6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4208B0">
        <w:rPr>
          <w:rFonts w:asciiTheme="minorHAnsi" w:eastAsia="Calibri" w:hAnsiTheme="minorHAnsi" w:cs="Calibri"/>
          <w:sz w:val="22"/>
          <w:szCs w:val="22"/>
        </w:rPr>
        <w:t>ha fornito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08B0">
        <w:rPr>
          <w:rFonts w:asciiTheme="minorHAnsi" w:eastAsia="Calibri" w:hAnsiTheme="minorHAnsi" w:cs="Calibri"/>
          <w:sz w:val="22"/>
          <w:szCs w:val="22"/>
        </w:rPr>
        <w:t>indicazioni circa i tempi e le modalità della presentazione, esclusivamente in formato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08B0">
        <w:rPr>
          <w:rFonts w:asciiTheme="minorHAnsi" w:eastAsia="Calibri" w:hAnsiTheme="minorHAnsi" w:cs="Calibri"/>
          <w:sz w:val="22"/>
          <w:szCs w:val="22"/>
        </w:rPr>
        <w:t>telematico, del documento di accompagnamento previsto per la circolazione dei prodotti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08B0">
        <w:rPr>
          <w:rFonts w:asciiTheme="minorHAnsi" w:eastAsia="Calibri" w:hAnsiTheme="minorHAnsi" w:cs="Calibri"/>
          <w:sz w:val="22"/>
          <w:szCs w:val="22"/>
        </w:rPr>
        <w:t>soggetti ad accisa (DAS), così come stabilito dall’art. 11 del decreto legge 26 ottobre 2019,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08B0">
        <w:rPr>
          <w:rFonts w:asciiTheme="minorHAnsi" w:eastAsia="Calibri" w:hAnsiTheme="minorHAnsi" w:cs="Calibri"/>
          <w:sz w:val="22"/>
          <w:szCs w:val="22"/>
        </w:rPr>
        <w:t>n.124 convertito, con modificazioni, dalla legge 19 dicembre 2019, n. 157 e successive</w:t>
      </w:r>
    </w:p>
    <w:p w14:paraId="12D09CFF" w14:textId="77777777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208B0">
        <w:rPr>
          <w:rFonts w:asciiTheme="minorHAnsi" w:eastAsia="Calibri" w:hAnsiTheme="minorHAnsi" w:cs="Calibri"/>
          <w:sz w:val="22"/>
          <w:szCs w:val="22"/>
        </w:rPr>
        <w:t>modifiche.</w:t>
      </w:r>
    </w:p>
    <w:p w14:paraId="682396B6" w14:textId="77777777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59A72C" w14:textId="31F1E17A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208B0">
        <w:rPr>
          <w:rFonts w:asciiTheme="minorHAnsi" w:eastAsia="Calibri" w:hAnsiTheme="minorHAnsi" w:cs="Calibri"/>
          <w:sz w:val="22"/>
          <w:szCs w:val="22"/>
        </w:rPr>
        <w:t>L’Agenzia chiarisce</w:t>
      </w:r>
      <w:r w:rsidR="008C56E6">
        <w:rPr>
          <w:rFonts w:asciiTheme="minorHAnsi" w:eastAsia="Calibri" w:hAnsiTheme="minorHAnsi" w:cs="Calibri"/>
          <w:sz w:val="22"/>
          <w:szCs w:val="22"/>
        </w:rPr>
        <w:t>,</w:t>
      </w:r>
      <w:r w:rsidRPr="004208B0">
        <w:rPr>
          <w:rFonts w:asciiTheme="minorHAnsi" w:eastAsia="Calibri" w:hAnsiTheme="minorHAnsi" w:cs="Calibri"/>
          <w:sz w:val="22"/>
          <w:szCs w:val="22"/>
        </w:rPr>
        <w:t xml:space="preserve"> all’art. 2</w:t>
      </w:r>
      <w:r w:rsidR="008C56E6">
        <w:rPr>
          <w:rFonts w:asciiTheme="minorHAnsi" w:eastAsia="Calibri" w:hAnsiTheme="minorHAnsi" w:cs="Calibri"/>
          <w:sz w:val="22"/>
          <w:szCs w:val="22"/>
        </w:rPr>
        <w:t>,</w:t>
      </w:r>
      <w:r w:rsidRPr="004208B0">
        <w:rPr>
          <w:rFonts w:asciiTheme="minorHAnsi" w:eastAsia="Calibri" w:hAnsiTheme="minorHAnsi" w:cs="Calibri"/>
          <w:sz w:val="22"/>
          <w:szCs w:val="22"/>
        </w:rPr>
        <w:t xml:space="preserve"> che la circolazione nel territorio dello Stato della benzina e del gasolio usati come carburante ed assoggettati ad accisa, è effettuata con la scorta dell’e-DAS contenente i campi obbligatori richiamati nella determina allegata.</w:t>
      </w:r>
    </w:p>
    <w:p w14:paraId="626F21C4" w14:textId="77777777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208B0">
        <w:rPr>
          <w:rFonts w:asciiTheme="minorHAnsi" w:eastAsia="Calibri" w:hAnsiTheme="minorHAnsi" w:cs="Calibri"/>
          <w:sz w:val="22"/>
          <w:szCs w:val="22"/>
        </w:rPr>
        <w:t>I carburanti quindi, dovranno circolare accompagnati da una copia stampata dell’e-DAS.</w:t>
      </w:r>
    </w:p>
    <w:p w14:paraId="5C6F53CA" w14:textId="77777777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5EE4254" w14:textId="15D56605" w:rsidR="004208B0" w:rsidRPr="004208B0" w:rsidRDefault="008C56E6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</w:t>
      </w:r>
      <w:r w:rsidR="004208B0" w:rsidRPr="004208B0">
        <w:rPr>
          <w:rFonts w:asciiTheme="minorHAnsi" w:eastAsia="Calibri" w:hAnsiTheme="minorHAnsi" w:cs="Calibri"/>
          <w:sz w:val="22"/>
          <w:szCs w:val="22"/>
        </w:rPr>
        <w:t>er ogni ulteriore dettaglio</w:t>
      </w:r>
      <w:r>
        <w:rPr>
          <w:rFonts w:asciiTheme="minorHAnsi" w:eastAsia="Calibri" w:hAnsiTheme="minorHAnsi" w:cs="Calibri"/>
          <w:sz w:val="22"/>
          <w:szCs w:val="22"/>
        </w:rPr>
        <w:t xml:space="preserve"> s</w:t>
      </w:r>
      <w:r w:rsidRPr="004208B0">
        <w:rPr>
          <w:rFonts w:asciiTheme="minorHAnsi" w:eastAsia="Calibri" w:hAnsiTheme="minorHAnsi" w:cs="Calibri"/>
          <w:sz w:val="22"/>
          <w:szCs w:val="22"/>
        </w:rPr>
        <w:t>i rimanda alla lettura della determinazione</w:t>
      </w:r>
      <w:r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1073511B" w14:textId="77777777" w:rsidR="004208B0" w:rsidRPr="004208B0" w:rsidRDefault="004208B0" w:rsidP="004208B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7F84FF" w14:textId="761DF99C" w:rsidR="00B166DE" w:rsidRPr="004208B0" w:rsidRDefault="00B166DE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6FDC0BE" w14:textId="7FD82897" w:rsidR="00B166DE" w:rsidRPr="004208B0" w:rsidRDefault="00B166DE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29A1488" w14:textId="0C1259A3" w:rsidR="00B166DE" w:rsidRPr="004208B0" w:rsidRDefault="00B166DE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BA5E7C8" w14:textId="16B9BF99" w:rsidR="00B166DE" w:rsidRPr="004208B0" w:rsidRDefault="00B166DE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EF7FF2F" w14:textId="77777777" w:rsidR="00B166DE" w:rsidRPr="004208B0" w:rsidRDefault="00B166DE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58C20922" w14:textId="0B08C638" w:rsidR="008C1069" w:rsidRPr="004208B0" w:rsidRDefault="008C1069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208B0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4208B0" w:rsidRDefault="008C1069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4208B0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4208B0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4208B0" w:rsidRDefault="00B166DE" w:rsidP="004208B0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4208B0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4208B0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0953D59D" w14:textId="7036AFD0" w:rsidR="00496EE7" w:rsidRPr="004208B0" w:rsidRDefault="00496EE7" w:rsidP="004208B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D03BF36" w14:textId="77777777" w:rsidR="00496EE7" w:rsidRPr="004208B0" w:rsidRDefault="00496EE7" w:rsidP="004208B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3DEECD5" w14:textId="77777777" w:rsidR="00B166DE" w:rsidRPr="004208B0" w:rsidRDefault="00B166DE" w:rsidP="004208B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71B0EF4" w14:textId="77777777" w:rsidR="0087199C" w:rsidRPr="004208B0" w:rsidRDefault="0087199C" w:rsidP="004208B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33906744" w14:textId="77777777" w:rsidR="0087199C" w:rsidRPr="004208B0" w:rsidRDefault="0087199C" w:rsidP="004208B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4BDE1631" w:rsidR="00FA09FD" w:rsidRPr="004208B0" w:rsidRDefault="00FA09FD" w:rsidP="004208B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4208B0">
        <w:rPr>
          <w:rFonts w:asciiTheme="minorHAnsi" w:hAnsiTheme="minorHAnsi" w:cs="Arial"/>
          <w:sz w:val="22"/>
          <w:szCs w:val="22"/>
        </w:rPr>
        <w:t xml:space="preserve">Pubblicata il </w:t>
      </w:r>
      <w:r w:rsidR="00B166DE" w:rsidRPr="004208B0">
        <w:rPr>
          <w:rFonts w:asciiTheme="minorHAnsi" w:hAnsiTheme="minorHAnsi" w:cs="Arial"/>
          <w:sz w:val="22"/>
          <w:szCs w:val="22"/>
        </w:rPr>
        <w:t>1</w:t>
      </w:r>
      <w:r w:rsidR="004208B0">
        <w:rPr>
          <w:rFonts w:asciiTheme="minorHAnsi" w:hAnsiTheme="minorHAnsi" w:cs="Arial"/>
          <w:sz w:val="22"/>
          <w:szCs w:val="22"/>
        </w:rPr>
        <w:t>4</w:t>
      </w:r>
      <w:r w:rsidR="00B166DE" w:rsidRPr="004208B0">
        <w:rPr>
          <w:rFonts w:asciiTheme="minorHAnsi" w:hAnsiTheme="minorHAnsi" w:cs="Arial"/>
          <w:sz w:val="22"/>
          <w:szCs w:val="22"/>
        </w:rPr>
        <w:t>/05</w:t>
      </w:r>
      <w:r w:rsidR="00051C34" w:rsidRPr="004208B0">
        <w:rPr>
          <w:rFonts w:asciiTheme="minorHAnsi" w:hAnsiTheme="minorHAnsi" w:cs="Arial"/>
          <w:sz w:val="22"/>
          <w:szCs w:val="22"/>
        </w:rPr>
        <w:t>/2020</w:t>
      </w:r>
    </w:p>
    <w:sectPr w:rsidR="00FA09FD" w:rsidRPr="004208B0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48B8" w14:textId="77777777" w:rsidR="00AE7029" w:rsidRDefault="00AE7029">
      <w:r>
        <w:separator/>
      </w:r>
    </w:p>
  </w:endnote>
  <w:endnote w:type="continuationSeparator" w:id="0">
    <w:p w14:paraId="7A8468C7" w14:textId="77777777" w:rsidR="00AE7029" w:rsidRDefault="00AE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F110D" w14:textId="77777777" w:rsidR="00AE7029" w:rsidRDefault="00AE7029">
      <w:r>
        <w:separator/>
      </w:r>
    </w:p>
  </w:footnote>
  <w:footnote w:type="continuationSeparator" w:id="0">
    <w:p w14:paraId="1E4D3B51" w14:textId="77777777" w:rsidR="00AE7029" w:rsidRDefault="00AE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8"/>
  </w:num>
  <w:num w:numId="11">
    <w:abstractNumId w:val="22"/>
  </w:num>
  <w:num w:numId="12">
    <w:abstractNumId w:val="10"/>
  </w:num>
  <w:num w:numId="13">
    <w:abstractNumId w:val="9"/>
  </w:num>
  <w:num w:numId="14">
    <w:abstractNumId w:val="17"/>
  </w:num>
  <w:num w:numId="15">
    <w:abstractNumId w:val="24"/>
  </w:num>
  <w:num w:numId="16">
    <w:abstractNumId w:val="4"/>
  </w:num>
  <w:num w:numId="17">
    <w:abstractNumId w:val="20"/>
  </w:num>
  <w:num w:numId="18">
    <w:abstractNumId w:val="7"/>
  </w:num>
  <w:num w:numId="19">
    <w:abstractNumId w:val="13"/>
  </w:num>
  <w:num w:numId="20">
    <w:abstractNumId w:val="2"/>
  </w:num>
  <w:num w:numId="21">
    <w:abstractNumId w:val="19"/>
  </w:num>
  <w:num w:numId="22">
    <w:abstractNumId w:val="1"/>
  </w:num>
  <w:num w:numId="23">
    <w:abstractNumId w:val="14"/>
  </w:num>
  <w:num w:numId="24">
    <w:abstractNumId w:val="1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35281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6468"/>
    <w:rsid w:val="004166FC"/>
    <w:rsid w:val="00416739"/>
    <w:rsid w:val="004176D9"/>
    <w:rsid w:val="004208B0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0B3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199C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56E6"/>
    <w:rsid w:val="008C6FB9"/>
    <w:rsid w:val="008D2770"/>
    <w:rsid w:val="008D5DD3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B09E7"/>
    <w:rsid w:val="00AB4A29"/>
    <w:rsid w:val="00AB5056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E5E17"/>
    <w:rsid w:val="00AE67ED"/>
    <w:rsid w:val="00AE7029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7ED3"/>
    <w:rsid w:val="00CC42BA"/>
    <w:rsid w:val="00CC5A06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77E1"/>
    <w:rsid w:val="00DF0987"/>
    <w:rsid w:val="00DF1400"/>
    <w:rsid w:val="00DF1E58"/>
    <w:rsid w:val="00DF20BC"/>
    <w:rsid w:val="00DF292B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5</cp:revision>
  <cp:lastPrinted>2019-12-30T11:26:00Z</cp:lastPrinted>
  <dcterms:created xsi:type="dcterms:W3CDTF">2020-05-14T07:45:00Z</dcterms:created>
  <dcterms:modified xsi:type="dcterms:W3CDTF">2020-05-14T08:59:00Z</dcterms:modified>
</cp:coreProperties>
</file>