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D309" w14:textId="3952B171" w:rsidR="003A3AF4" w:rsidRDefault="00952E48" w:rsidP="003A3AF4">
      <w:pPr>
        <w:rPr>
          <w:rFonts w:ascii="Calibri" w:eastAsia="Calibri" w:hAnsi="Calibri" w:cs="Calibri"/>
          <w:b/>
        </w:rPr>
      </w:pPr>
      <w:r w:rsidRPr="00691177"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</w:p>
    <w:p w14:paraId="72D5338A" w14:textId="77777777" w:rsidR="006348FA" w:rsidRDefault="006348FA" w:rsidP="006348F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 xml:space="preserve">DL Rilancio. Misure di maggior interesse per il settore autotrasporti </w:t>
      </w:r>
    </w:p>
    <w:p w14:paraId="1365BBA4" w14:textId="78273927" w:rsidR="00753F41" w:rsidRDefault="00753F41" w:rsidP="00753F41">
      <w:pPr>
        <w:rPr>
          <w:rFonts w:ascii="Calibri" w:eastAsia="Calibri" w:hAnsi="Calibri" w:cs="Calibri"/>
          <w:b/>
        </w:rPr>
      </w:pPr>
    </w:p>
    <w:p w14:paraId="35628120" w14:textId="1F18871C" w:rsidR="008F5A25" w:rsidRDefault="008F5A25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Nota di ANITA</w:t>
      </w:r>
    </w:p>
    <w:p w14:paraId="0B03FD77" w14:textId="77777777" w:rsidR="008F5A25" w:rsidRDefault="008F5A25" w:rsidP="006348FA">
      <w:pPr>
        <w:rPr>
          <w:rFonts w:ascii="Calibri" w:eastAsia="Calibri" w:hAnsi="Calibri" w:cs="Calibri"/>
          <w:sz w:val="22"/>
        </w:rPr>
      </w:pPr>
    </w:p>
    <w:p w14:paraId="684FABB1" w14:textId="30AA31DF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Con riferimento alla pubblicazione nel S.O. alla G.U. n. 128 del 19 maggio 2020 del </w:t>
      </w:r>
      <w:proofErr w:type="gramStart"/>
      <w:r>
        <w:rPr>
          <w:rFonts w:ascii="Calibri" w:eastAsia="Calibri" w:hAnsi="Calibri" w:cs="Calibri"/>
          <w:sz w:val="22"/>
        </w:rPr>
        <w:t xml:space="preserve">Decreto </w:t>
      </w:r>
      <w:r w:rsidR="005614A5">
        <w:rPr>
          <w:rFonts w:ascii="Calibri" w:eastAsia="Calibri" w:hAnsi="Calibri" w:cs="Calibri"/>
          <w:sz w:val="22"/>
        </w:rPr>
        <w:t>L</w:t>
      </w:r>
      <w:r>
        <w:rPr>
          <w:rFonts w:ascii="Calibri" w:eastAsia="Calibri" w:hAnsi="Calibri" w:cs="Calibri"/>
          <w:sz w:val="22"/>
        </w:rPr>
        <w:t>egge</w:t>
      </w:r>
      <w:proofErr w:type="gramEnd"/>
      <w:r>
        <w:rPr>
          <w:rFonts w:ascii="Calibri" w:eastAsia="Calibri" w:hAnsi="Calibri" w:cs="Calibri"/>
          <w:sz w:val="22"/>
        </w:rPr>
        <w:t xml:space="preserve"> “Rilancio" (</w:t>
      </w:r>
      <w:r w:rsidRPr="006348FA">
        <w:rPr>
          <w:rFonts w:ascii="Calibri" w:eastAsia="Calibri" w:hAnsi="Calibri" w:cs="Calibri"/>
          <w:sz w:val="22"/>
        </w:rPr>
        <w:t>D.L. n. 34 del 19 maggio 2020</w:t>
      </w:r>
      <w:r>
        <w:rPr>
          <w:rFonts w:ascii="Calibri" w:eastAsia="Calibri" w:hAnsi="Calibri" w:cs="Calibri"/>
          <w:sz w:val="22"/>
        </w:rPr>
        <w:t xml:space="preserve">), ANITA ha elaborato una nota di commento dalla quale evidenziamo gli argomenti di maggiore interesse per l'autotrasporto. </w:t>
      </w:r>
    </w:p>
    <w:p w14:paraId="537A8F2C" w14:textId="77777777" w:rsidR="006348FA" w:rsidRDefault="006348FA" w:rsidP="006348FA">
      <w:pPr>
        <w:rPr>
          <w:rFonts w:ascii="Calibri" w:eastAsia="Calibri" w:hAnsi="Calibri" w:cs="Calibri"/>
        </w:rPr>
      </w:pPr>
    </w:p>
    <w:p w14:paraId="3DCCB19A" w14:textId="70C62F8B" w:rsidR="006348FA" w:rsidRDefault="006348FA" w:rsidP="006348F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Art. 210 – Disposizioni in materia di autotrasporto </w:t>
      </w:r>
    </w:p>
    <w:p w14:paraId="675CE2B1" w14:textId="66940E17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Previsto uno stanziamento di 20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milioni di euro finalizzato alla copertura delle riduzioni compensate dei pedaggi autostradali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per il 2020. </w:t>
      </w:r>
    </w:p>
    <w:p w14:paraId="155344E8" w14:textId="341C3D9B" w:rsidR="006348FA" w:rsidRDefault="006348FA" w:rsidP="006348FA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z w:val="22"/>
        </w:rPr>
        <w:t>Inoltre</w:t>
      </w:r>
      <w:proofErr w:type="gramEnd"/>
      <w:r>
        <w:rPr>
          <w:rFonts w:ascii="Calibri" w:eastAsia="Calibri" w:hAnsi="Calibri" w:cs="Calibri"/>
          <w:sz w:val="22"/>
        </w:rPr>
        <w:t xml:space="preserve"> l’art. 197 ha previsto, per quanto riguarda il Marebonus e Ferrobonus, un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rifinanziamento per gli incentivi al trasporto combinato marittimo e ferroviario. In particolare,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è stata autorizzata la spesa di 30 milioni di euro per il rifinanziamento del Marebonus e 20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milioni di euro per il Ferrobonus.</w:t>
      </w:r>
    </w:p>
    <w:p w14:paraId="368732F3" w14:textId="77777777" w:rsidR="006348FA" w:rsidRDefault="006348FA" w:rsidP="006348FA">
      <w:pPr>
        <w:rPr>
          <w:rFonts w:ascii="Calibri" w:eastAsia="Calibri" w:hAnsi="Calibri" w:cs="Calibri"/>
          <w:b/>
        </w:rPr>
      </w:pPr>
    </w:p>
    <w:p w14:paraId="7BBA76BB" w14:textId="77777777" w:rsidR="006348FA" w:rsidRDefault="006348FA" w:rsidP="006348F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Art. 81 – Sospensione termini procedimenti amministrativi ed effetti atti amministrativi</w:t>
      </w:r>
    </w:p>
    <w:p w14:paraId="5A82CEE8" w14:textId="77777777" w:rsidR="006348FA" w:rsidRDefault="006348FA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in scadenza </w:t>
      </w:r>
    </w:p>
    <w:p w14:paraId="51724D39" w14:textId="7E5E367D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Viene confermata la proroga di validità di tutti i certificati, attestati, permessi,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concessioni, autorizzazioni e atti abilitativi in scadenza tra il 31 gennaio e il 31 luglio 2020, 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quali conservano la loro validità per 90 giorni successivi alla dichiarazione di cessazione dello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stato di emergenza, “ad eccezione dei documenti unici di regolarità (DURC) in scadenza tra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il 31 gennaio 2020 ed il 15 aprile 2020, che conservano validità sino al 15 giugno 2020”.</w:t>
      </w:r>
    </w:p>
    <w:p w14:paraId="2909524F" w14:textId="77777777" w:rsidR="006348FA" w:rsidRDefault="006348FA" w:rsidP="006348FA">
      <w:pPr>
        <w:rPr>
          <w:rFonts w:ascii="Calibri" w:eastAsia="Calibri" w:hAnsi="Calibri" w:cs="Calibri"/>
        </w:rPr>
      </w:pPr>
    </w:p>
    <w:p w14:paraId="3B2F8E9D" w14:textId="4860EEDD" w:rsidR="006348FA" w:rsidRDefault="006348FA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Art. 123 – Soppressione delle clausole di salvaguardia aumenti IVA e accisa </w:t>
      </w:r>
    </w:p>
    <w:p w14:paraId="62715032" w14:textId="4D9347E6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Per l’anno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2021 non ci sarà l’aumento automatico delle variazioni in aumento delle aliquote IVA e</w:t>
      </w:r>
    </w:p>
    <w:p w14:paraId="301E70EC" w14:textId="77777777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quelle previste su taluni prodotti di carburanti.</w:t>
      </w:r>
    </w:p>
    <w:p w14:paraId="1ADED0A6" w14:textId="77777777" w:rsidR="006348FA" w:rsidRDefault="006348FA" w:rsidP="006348FA">
      <w:pPr>
        <w:rPr>
          <w:rFonts w:ascii="Calibri" w:eastAsia="Calibri" w:hAnsi="Calibri" w:cs="Calibri"/>
        </w:rPr>
      </w:pPr>
    </w:p>
    <w:p w14:paraId="2D167B22" w14:textId="77777777" w:rsidR="006348FA" w:rsidRDefault="006348FA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Art. 130 – Semplificazioni per i depositi di carburante ad uso privato</w:t>
      </w:r>
      <w:r>
        <w:rPr>
          <w:rFonts w:ascii="Calibri" w:eastAsia="Calibri" w:hAnsi="Calibri" w:cs="Calibri"/>
          <w:sz w:val="22"/>
        </w:rPr>
        <w:t xml:space="preserve"> </w:t>
      </w:r>
    </w:p>
    <w:p w14:paraId="571CF3AB" w14:textId="0F2B6948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L’articolo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esame, nel confermare il rinvio al 1° gennaio 2021 degli adempimenti relativi agli impianti 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distribuzione di gasolio ad uso privato già disposto in occasione della conversione in legge del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decreto “Cura Italia”, elimina l’obbligo di denuncia fiscale all’Agenzia delle Dogane, stabilendo che è possibile presentare una semplice comunicazione di attività all’Agenzia stessa a cui farà seguito l’assegnazione di un codice identificativo.</w:t>
      </w:r>
    </w:p>
    <w:p w14:paraId="0CBCBC9E" w14:textId="77777777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Resta ferma la tenuta dei registri di carico e scarico con modalità semplificate. </w:t>
      </w:r>
    </w:p>
    <w:p w14:paraId="3F9CB68A" w14:textId="77777777" w:rsidR="006348FA" w:rsidRDefault="006348FA" w:rsidP="006348FA">
      <w:pPr>
        <w:rPr>
          <w:rFonts w:ascii="Calibri" w:eastAsia="Calibri" w:hAnsi="Calibri" w:cs="Calibri"/>
        </w:rPr>
      </w:pPr>
    </w:p>
    <w:p w14:paraId="55139AE5" w14:textId="77777777" w:rsidR="006348FA" w:rsidRDefault="006348FA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Art. 161 – Proroga pagamento diritti doganali </w:t>
      </w:r>
    </w:p>
    <w:p w14:paraId="21600649" w14:textId="72389358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I pagamenti dei diritti doganali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scadenza tra la data del 1° maggio 2020 ed il 31 luglio 2020, sono prorogati di sessanta giorni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senza l’applicazione delle sanzioni ed interessi.</w:t>
      </w:r>
    </w:p>
    <w:p w14:paraId="7BDDD7E9" w14:textId="77777777" w:rsidR="006348FA" w:rsidRDefault="006348FA" w:rsidP="006348FA">
      <w:pPr>
        <w:rPr>
          <w:rFonts w:ascii="Calibri" w:eastAsia="Calibri" w:hAnsi="Calibri" w:cs="Calibri"/>
        </w:rPr>
      </w:pPr>
    </w:p>
    <w:p w14:paraId="68240CDD" w14:textId="7B7145B2" w:rsidR="006348FA" w:rsidRDefault="006348FA" w:rsidP="006348F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Art. 46 - Servizi postali </w:t>
      </w:r>
    </w:p>
    <w:p w14:paraId="08B10B18" w14:textId="412F6DA1" w:rsidR="006348FA" w:rsidRDefault="006348FA" w:rsidP="006348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È 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>prorogata sino alla data del 31 luglio 2020 la possibilità, da parte degli operatori postali, di procedere alla consegna di invii e pacchi mediante preventivo accertamento della presenza del destinatario o di persona abilitata al ritiro, senza raccoglierne la firma.</w:t>
      </w:r>
    </w:p>
    <w:p w14:paraId="21E4DBA6" w14:textId="292719F0" w:rsidR="004750C0" w:rsidRDefault="004750C0" w:rsidP="004750C0">
      <w:pPr>
        <w:rPr>
          <w:rFonts w:ascii="Calibri" w:eastAsia="Calibri" w:hAnsi="Calibri" w:cs="Calibri"/>
          <w:b/>
        </w:rPr>
      </w:pPr>
    </w:p>
    <w:p w14:paraId="54C7C520" w14:textId="77777777" w:rsidR="00257A5F" w:rsidRPr="00257A5F" w:rsidRDefault="00257A5F" w:rsidP="002043B0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C959AD0" w14:textId="77777777" w:rsidR="008375FF" w:rsidRPr="00A96510" w:rsidRDefault="008375FF" w:rsidP="002043B0">
      <w:pPr>
        <w:jc w:val="both"/>
        <w:rPr>
          <w:rFonts w:asciiTheme="minorHAnsi" w:hAnsiTheme="minorHAnsi"/>
          <w:sz w:val="22"/>
          <w:szCs w:val="22"/>
        </w:rPr>
      </w:pPr>
    </w:p>
    <w:p w14:paraId="58C20922" w14:textId="3E4E6034" w:rsidR="008C1069" w:rsidRPr="00691177" w:rsidRDefault="008C1069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691177">
        <w:rPr>
          <w:rFonts w:asciiTheme="minorHAnsi" w:hAnsiTheme="minorHAnsi" w:cs="Tahoma"/>
          <w:b/>
          <w:bCs/>
          <w:sz w:val="22"/>
          <w:szCs w:val="22"/>
        </w:rPr>
        <w:lastRenderedPageBreak/>
        <w:t>Riferimenti:</w:t>
      </w:r>
    </w:p>
    <w:p w14:paraId="26E5523E" w14:textId="77777777" w:rsidR="008C1069" w:rsidRPr="00691177" w:rsidRDefault="008C1069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91177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691177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14D85AFF" w:rsidR="008C1069" w:rsidRPr="00691177" w:rsidRDefault="00257A5F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91177">
        <w:rPr>
          <w:rFonts w:asciiTheme="minorHAnsi" w:hAnsiTheme="minorHAnsi" w:cs="Tahoma"/>
          <w:sz w:val="22"/>
          <w:szCs w:val="22"/>
        </w:rPr>
        <w:t xml:space="preserve">Dott. Dominici Tel. 0744/443418 </w:t>
      </w:r>
      <w:r w:rsidR="004750C0">
        <w:rPr>
          <w:rFonts w:asciiTheme="minorHAnsi" w:hAnsiTheme="minorHAnsi" w:cs="Tahoma"/>
          <w:sz w:val="22"/>
          <w:szCs w:val="22"/>
        </w:rPr>
        <w:t xml:space="preserve">- </w:t>
      </w:r>
      <w:r w:rsidR="004750C0" w:rsidRPr="00691177">
        <w:rPr>
          <w:rFonts w:asciiTheme="minorHAnsi" w:hAnsiTheme="minorHAnsi" w:cs="Tahoma"/>
          <w:sz w:val="22"/>
          <w:szCs w:val="22"/>
        </w:rPr>
        <w:t>Dott. Di Matteo Tel. 075/5820227</w:t>
      </w:r>
      <w:r w:rsidR="004750C0">
        <w:rPr>
          <w:rFonts w:asciiTheme="minorHAnsi" w:hAnsiTheme="minorHAnsi" w:cs="Tahoma"/>
          <w:sz w:val="22"/>
          <w:szCs w:val="22"/>
        </w:rPr>
        <w:t xml:space="preserve"> </w:t>
      </w:r>
    </w:p>
    <w:p w14:paraId="1F8F609C" w14:textId="2DB127BB" w:rsidR="005368B1" w:rsidRPr="00691177" w:rsidRDefault="005368B1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004DFEF0" w14:textId="4B39F409" w:rsidR="00496EE7" w:rsidRPr="00691177" w:rsidRDefault="00496EE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7D03BF36" w14:textId="608D7384" w:rsidR="00496EE7" w:rsidRDefault="00496EE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2D958125" w14:textId="77777777" w:rsidR="008A3087" w:rsidRPr="00691177" w:rsidRDefault="008A308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E0C5" w14:textId="570DA2E7" w:rsidR="00FA09FD" w:rsidRPr="00691177" w:rsidRDefault="00FA09FD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691177">
        <w:rPr>
          <w:rFonts w:asciiTheme="minorHAnsi" w:hAnsiTheme="minorHAnsi" w:cs="Arial"/>
          <w:sz w:val="22"/>
          <w:szCs w:val="22"/>
        </w:rPr>
        <w:t xml:space="preserve">Pubblicata il </w:t>
      </w:r>
      <w:r w:rsidR="004750C0" w:rsidRPr="005614A5">
        <w:rPr>
          <w:rFonts w:asciiTheme="minorHAnsi" w:hAnsiTheme="minorHAnsi" w:cs="Arial"/>
          <w:sz w:val="22"/>
          <w:szCs w:val="22"/>
        </w:rPr>
        <w:t>2</w:t>
      </w:r>
      <w:r w:rsidR="005614A5">
        <w:rPr>
          <w:rFonts w:asciiTheme="minorHAnsi" w:hAnsiTheme="minorHAnsi" w:cs="Arial"/>
          <w:sz w:val="22"/>
          <w:szCs w:val="22"/>
        </w:rPr>
        <w:t>7</w:t>
      </w:r>
      <w:r w:rsidR="00E73686" w:rsidRPr="005614A5">
        <w:rPr>
          <w:rFonts w:asciiTheme="minorHAnsi" w:hAnsiTheme="minorHAnsi" w:cs="Arial"/>
          <w:sz w:val="22"/>
          <w:szCs w:val="22"/>
        </w:rPr>
        <w:t>/0</w:t>
      </w:r>
      <w:r w:rsidR="00257A5F" w:rsidRPr="005614A5">
        <w:rPr>
          <w:rFonts w:asciiTheme="minorHAnsi" w:hAnsiTheme="minorHAnsi" w:cs="Arial"/>
          <w:sz w:val="22"/>
          <w:szCs w:val="22"/>
        </w:rPr>
        <w:t>5</w:t>
      </w:r>
      <w:r w:rsidR="00051C34" w:rsidRPr="005614A5">
        <w:rPr>
          <w:rFonts w:asciiTheme="minorHAnsi" w:hAnsiTheme="minorHAnsi" w:cs="Arial"/>
          <w:sz w:val="22"/>
          <w:szCs w:val="22"/>
        </w:rPr>
        <w:t>/2020</w:t>
      </w:r>
    </w:p>
    <w:sectPr w:rsidR="00FA09FD" w:rsidRPr="00691177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EBC9" w14:textId="77777777" w:rsidR="00A967D0" w:rsidRDefault="00A967D0">
      <w:r>
        <w:separator/>
      </w:r>
    </w:p>
  </w:endnote>
  <w:endnote w:type="continuationSeparator" w:id="0">
    <w:p w14:paraId="7254F06F" w14:textId="77777777" w:rsidR="00A967D0" w:rsidRDefault="00A9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07CA" w14:textId="77777777" w:rsidR="00A967D0" w:rsidRDefault="00A967D0">
      <w:r>
        <w:separator/>
      </w:r>
    </w:p>
  </w:footnote>
  <w:footnote w:type="continuationSeparator" w:id="0">
    <w:p w14:paraId="2B45FB26" w14:textId="77777777" w:rsidR="00A967D0" w:rsidRDefault="00A9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4"/>
  </w:num>
  <w:num w:numId="5">
    <w:abstractNumId w:val="26"/>
  </w:num>
  <w:num w:numId="6">
    <w:abstractNumId w:val="6"/>
  </w:num>
  <w:num w:numId="7">
    <w:abstractNumId w:val="15"/>
  </w:num>
  <w:num w:numId="8">
    <w:abstractNumId w:val="21"/>
  </w:num>
  <w:num w:numId="9">
    <w:abstractNumId w:val="18"/>
  </w:num>
  <w:num w:numId="10">
    <w:abstractNumId w:val="8"/>
  </w:num>
  <w:num w:numId="11">
    <w:abstractNumId w:val="25"/>
  </w:num>
  <w:num w:numId="12">
    <w:abstractNumId w:val="11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23"/>
  </w:num>
  <w:num w:numId="18">
    <w:abstractNumId w:val="7"/>
  </w:num>
  <w:num w:numId="19">
    <w:abstractNumId w:val="16"/>
  </w:num>
  <w:num w:numId="20">
    <w:abstractNumId w:val="1"/>
  </w:num>
  <w:num w:numId="21">
    <w:abstractNumId w:val="22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50D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E47A3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957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57A5F"/>
    <w:rsid w:val="002607E2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2862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5760C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750C0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14A5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8FA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70405"/>
    <w:rsid w:val="0067055C"/>
    <w:rsid w:val="0067483E"/>
    <w:rsid w:val="0067573D"/>
    <w:rsid w:val="00677621"/>
    <w:rsid w:val="0068142C"/>
    <w:rsid w:val="00690228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3F41"/>
    <w:rsid w:val="007544E9"/>
    <w:rsid w:val="00754A80"/>
    <w:rsid w:val="0075722D"/>
    <w:rsid w:val="00761A98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3ACD"/>
    <w:rsid w:val="00824701"/>
    <w:rsid w:val="00830EB0"/>
    <w:rsid w:val="0083119A"/>
    <w:rsid w:val="008317A5"/>
    <w:rsid w:val="00836750"/>
    <w:rsid w:val="008375FF"/>
    <w:rsid w:val="008433BB"/>
    <w:rsid w:val="00847ACF"/>
    <w:rsid w:val="00850549"/>
    <w:rsid w:val="00853B99"/>
    <w:rsid w:val="00861348"/>
    <w:rsid w:val="00861AA9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4388"/>
    <w:rsid w:val="008E731C"/>
    <w:rsid w:val="008E7E36"/>
    <w:rsid w:val="008E7F9F"/>
    <w:rsid w:val="008F179C"/>
    <w:rsid w:val="008F1C06"/>
    <w:rsid w:val="008F28C1"/>
    <w:rsid w:val="008F3959"/>
    <w:rsid w:val="008F5A25"/>
    <w:rsid w:val="008F7B14"/>
    <w:rsid w:val="00902B38"/>
    <w:rsid w:val="0090616B"/>
    <w:rsid w:val="00911219"/>
    <w:rsid w:val="00913BDA"/>
    <w:rsid w:val="00914796"/>
    <w:rsid w:val="00914BC8"/>
    <w:rsid w:val="00915E60"/>
    <w:rsid w:val="009162D2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4FD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967D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3385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E77DB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3FF0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115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 Santilli</cp:lastModifiedBy>
  <cp:revision>31</cp:revision>
  <cp:lastPrinted>2019-12-30T11:26:00Z</cp:lastPrinted>
  <dcterms:created xsi:type="dcterms:W3CDTF">2020-03-04T16:17:00Z</dcterms:created>
  <dcterms:modified xsi:type="dcterms:W3CDTF">2020-05-27T13:34:00Z</dcterms:modified>
</cp:coreProperties>
</file>