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4A4F" w14:textId="6205FC5F" w:rsidR="00423098" w:rsidRPr="00423098" w:rsidRDefault="00A343EA" w:rsidP="00423098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595292">
        <w:rPr>
          <w:rFonts w:ascii="Calibri" w:hAnsi="Calibri"/>
          <w:b/>
          <w:bCs/>
          <w:sz w:val="22"/>
          <w:szCs w:val="22"/>
        </w:rPr>
        <w:t xml:space="preserve">Gestione Fase 2: </w:t>
      </w:r>
      <w:r w:rsidR="00353110">
        <w:rPr>
          <w:rFonts w:ascii="Calibri" w:hAnsi="Calibri"/>
          <w:b/>
          <w:bCs/>
          <w:sz w:val="22"/>
          <w:szCs w:val="22"/>
        </w:rPr>
        <w:t>le misure del</w:t>
      </w:r>
      <w:r w:rsidR="00595292" w:rsidRPr="00595292">
        <w:rPr>
          <w:rFonts w:ascii="Calibri" w:hAnsi="Calibri"/>
          <w:b/>
          <w:bCs/>
          <w:sz w:val="22"/>
          <w:szCs w:val="22"/>
        </w:rPr>
        <w:t xml:space="preserve"> DL Aperture</w:t>
      </w: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362B47C3" w14:textId="63890C70" w:rsidR="00652628" w:rsidRPr="00944DDE" w:rsidRDefault="00595292" w:rsidP="00652628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Nota di Ance</w:t>
      </w:r>
    </w:p>
    <w:p w14:paraId="3FA4187B" w14:textId="77777777" w:rsidR="00944DDE" w:rsidRDefault="00944DDE" w:rsidP="00BE597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1A1AED" w14:textId="77777777" w:rsidR="00595292" w:rsidRPr="00D572A8" w:rsidRDefault="00595292" w:rsidP="0059529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 xml:space="preserve">Il Consiglio dei Ministri, </w:t>
      </w:r>
      <w:r w:rsidRPr="00D572A8">
        <w:rPr>
          <w:rFonts w:ascii="Calibri" w:hAnsi="Calibri" w:cs="Calibri"/>
          <w:color w:val="0000FF"/>
          <w:sz w:val="22"/>
          <w:szCs w:val="22"/>
        </w:rPr>
        <w:t>nella seduta n.46 del 15 maggio</w:t>
      </w:r>
      <w:r w:rsidRPr="00D572A8">
        <w:rPr>
          <w:rFonts w:ascii="Calibri" w:hAnsi="Calibri" w:cs="Calibri"/>
          <w:color w:val="000000"/>
          <w:sz w:val="22"/>
          <w:szCs w:val="22"/>
        </w:rPr>
        <w:t>, ha approvato un decreto-legge che introduce ulteriori misure urgenti per fronteggiare l’emergenza epidemiologica da COVID-19. Il decreto delinea il quadro normativo nazionale all’interno del quale, dal 18 maggio al 31 luglio 2020, con appositi decreti od ordinanze, statali, regionali o comunali, potranno essere disciplinati gli spostamenti delle persone fisiche e le modalità di svolgimento delle attività economiche, produttive e sociali (</w:t>
      </w:r>
      <w:r w:rsidRPr="00D572A8">
        <w:rPr>
          <w:rFonts w:ascii="Calibri" w:hAnsi="Calibri" w:cs="Calibri"/>
          <w:color w:val="0000FF"/>
          <w:sz w:val="22"/>
          <w:szCs w:val="22"/>
        </w:rPr>
        <w:t>DL 33/2020 pubblicato in GU n. 125 del 16 maggio 2020</w:t>
      </w:r>
      <w:r w:rsidRPr="00D572A8">
        <w:rPr>
          <w:rFonts w:ascii="Calibri" w:hAnsi="Calibri" w:cs="Calibri"/>
          <w:color w:val="000000"/>
          <w:sz w:val="22"/>
          <w:szCs w:val="22"/>
        </w:rPr>
        <w:t xml:space="preserve">). In attuazione del predetto decreto legge è stato adottato il </w:t>
      </w:r>
      <w:r w:rsidRPr="00D572A8">
        <w:rPr>
          <w:rFonts w:ascii="Calibri" w:hAnsi="Calibri" w:cs="Calibri"/>
          <w:color w:val="0000FF"/>
          <w:sz w:val="22"/>
          <w:szCs w:val="22"/>
        </w:rPr>
        <w:t>DPCM del 17 maggio 2020 pubblicato in GU del 17 maggio</w:t>
      </w:r>
      <w:r w:rsidRPr="00D572A8">
        <w:rPr>
          <w:rFonts w:ascii="Calibri" w:hAnsi="Calibri" w:cs="Calibri"/>
          <w:color w:val="000000"/>
          <w:sz w:val="22"/>
          <w:szCs w:val="22"/>
        </w:rPr>
        <w:t>.</w:t>
      </w:r>
    </w:p>
    <w:p w14:paraId="7287CF0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1E7D6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Il Decreto legge prevede, in particolare, le seguenti misure:</w:t>
      </w:r>
    </w:p>
    <w:p w14:paraId="2FBE09C6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89C89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72A8">
        <w:rPr>
          <w:rFonts w:ascii="Calibri" w:hAnsi="Calibri" w:cs="Calibri"/>
          <w:b/>
          <w:bCs/>
          <w:color w:val="000000"/>
          <w:sz w:val="22"/>
          <w:szCs w:val="22"/>
        </w:rPr>
        <w:t>Spostamenti</w:t>
      </w:r>
    </w:p>
    <w:p w14:paraId="48E15CFD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A partire dal 18 maggio 2020, gli spostamenti delle persone all’interno del territorio della stessa regione non saranno soggetti ad alcuna limitazione. Lo Stato o le Regioni, in base a quanto previsto dal decreto-legge 25 marzo 2020, n. 19, potranno adottare o reiterare misure limitative della circolazione all’interno del territorio regionale relativamente a specifiche aree interessate da un particolare aggravamento della situazione epidemiologica.</w:t>
      </w:r>
    </w:p>
    <w:p w14:paraId="08B933B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Fino al 2 giugno 2020 restano vietati gli spostamenti, con mezzi di trasporto pubblici e privati, in una regione diversa rispetto a quella in cui attualmente ci si trova, così come quelli da e per l’estero, salvo che per comprovate esigenze lavorative, di assoluta urgenza o per motivi di salute; resta in ogni caso consentito il rientro presso il proprio domicilio, abitazione o residenza.</w:t>
      </w:r>
    </w:p>
    <w:p w14:paraId="44020391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4FB6D5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A decorrere dal 3 giugno 2020, gli spostamenti tra regioni diverse potranno essere limitati solo con provvedimenti statali adottati ai sensi dell’articolo 2 del decreto-legge 25 marzo 2020, n. 19, in relazione a specifiche aree del territorio nazionale, secondo principi di adeguatezza e proporzionalità al rischio epidemiologico effettivamente presente in dette aree.</w:t>
      </w:r>
    </w:p>
    <w:p w14:paraId="3925C51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072100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Tali norme varranno anche per gli spostamenti da e per l’estero, che potranno essere limitati solo con provvedimenti statali anche in relazione a specifici Stati e territori, secondo principi di adeguatezza e proporzionalità al rischio epidemiologico e nel rispetto dei vincoli derivanti dall’ordinamento dell’Unione europea e degli obblighi internazionali. Saranno comunque consentiti gli spostamenti tra la Città del Vaticano o la Repubblica di San Marino e le regioni confinanti.</w:t>
      </w:r>
    </w:p>
    <w:p w14:paraId="218A03CC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È confermato il divieto di mobilità dalla propria abitazione o dimora per le persone sottoposte alla misura della quarantena per provvedimento dell’autorità sanitaria in quanto risultate positive al virus COVID-19, fino all’accertamento della guarigione o al ricovero in una struttura sanitaria o altra struttura allo scopo destinata.</w:t>
      </w:r>
    </w:p>
    <w:p w14:paraId="46C07A42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La quarantena precauzionale è applicata con provvedimento dell’autorità sanitaria ai soggetti che hanno avuto contatti stretti con casi confermati di soggetti positivi al virus COVID-19 e agli altri soggetti indicati con i provvedimenti adottati ai sensi dell'articolo 2 del decreto-legge n. 19 del 2020.</w:t>
      </w:r>
    </w:p>
    <w:p w14:paraId="611F04F3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Resta vietato, l’assembramento di persone in luoghi pubblici o aperti al pubblico.</w:t>
      </w:r>
    </w:p>
    <w:p w14:paraId="7E0DC959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Le funzioni religiose con la partecipazione di persone si svolgono nel rispetto dei protocolli sottoscritti dal Governo e dalle rispettive confessioni, contenenti le misure idonee a prevenire il rischio di contagio.</w:t>
      </w:r>
    </w:p>
    <w:p w14:paraId="71F24AD3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2D6547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72A8">
        <w:rPr>
          <w:rFonts w:ascii="Calibri" w:hAnsi="Calibri" w:cs="Calibri"/>
          <w:b/>
          <w:bCs/>
          <w:color w:val="000000"/>
          <w:sz w:val="22"/>
          <w:szCs w:val="22"/>
        </w:rPr>
        <w:t>Attività economiche e produttive</w:t>
      </w:r>
    </w:p>
    <w:p w14:paraId="239352E6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A partire dal 18 maggio, le attività economiche, produttive e sociali devono svolgersi nel rispetto dei contenuti di protocolli o linee guida, idonei a prevenire o ridurre il rischio di contagio nel settore di riferimento o in ambiti analoghi, adottati dalle regioni o dalla Conferenza delle regioni e delle province autonome, nel rispetto dei principi contenuti nei protocolli o nelle linee guida nazionali.</w:t>
      </w:r>
    </w:p>
    <w:p w14:paraId="65E01001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In assenza di quelli regionali trovano applicazione i protocolli o le linee guida adottati a livello nazionale. Le misure limitative delle attività economiche e produttive possono essere adottate, nel rispetto dei principi di adeguatezza e proporzionalità, con provvedimenti statali emanati ai sensi dell’articolo 2 del decreto legge n. 19 del 2020 o, nelle more di tali provvedimenti, dalle Regioni.</w:t>
      </w:r>
    </w:p>
    <w:p w14:paraId="5FD2D705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Per garantire lo svolgimento in condizioni di sicurezza delle attività economiche, produttive e sociali, le regioni monitorano con cadenza giornaliera l'andamento della situazione epidemiologica nei propri territori e, in relazione a tale andamento, le condizioni di adeguatezza del sistema sanitario regionale. I dati del monitoraggio sono comunicati giornalmente dalle regioni al Ministero della salute, all’Istituto superiore di sanità e al Comitato tecnico-scientifico.</w:t>
      </w:r>
    </w:p>
    <w:p w14:paraId="368FC0CB" w14:textId="476989B1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In relazione all’andamento della situazione epidemiologica sul territorio, la singola regione, informando contestualmente il Ministro della Salute, può introdurre misure derogatorie, ampliative o restrittive, rispetto a quelle disposte a livello statale.</w:t>
      </w:r>
    </w:p>
    <w:p w14:paraId="43E40DC1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F06F12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72A8">
        <w:rPr>
          <w:rFonts w:ascii="Calibri" w:hAnsi="Calibri" w:cs="Calibri"/>
          <w:b/>
          <w:bCs/>
          <w:color w:val="000000"/>
          <w:sz w:val="22"/>
          <w:szCs w:val="22"/>
        </w:rPr>
        <w:t>Sanzioni</w:t>
      </w:r>
    </w:p>
    <w:p w14:paraId="08E1C3BC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Il mancato rispetto dei contenuti dei protocolli o delle linee guida regionali o, in assenza, nazionali, che non assicuri adeguati livelli di protezione, determina la sospensione dell’attività economica o produttiva fino al ripristino delle condizioni di sicurezza.</w:t>
      </w:r>
    </w:p>
    <w:p w14:paraId="581EADA1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Salvo che il fatto costituisca reato diverso da quello di cui all’articolo 650 del codice penale (“Inosservanza dei provvedimenti dell'Autorità”), le violazioni delle disposizioni del decreto, o dei decreti e delle ordinanze emanati per darne attuazione, sono punite con la sanzione amministrativa di cui all’articolo 4, comma 1, del decreto-legge 25 marzo 2020 n. 19, che prevede il pagamento di una somma da euro 400 a euro 3.000, aumentata fino a un terzo se la violazione avviene mediante l'utilizzo di un veicolo.</w:t>
      </w:r>
    </w:p>
    <w:p w14:paraId="2BF7EB61" w14:textId="77777777" w:rsidR="00595292" w:rsidRPr="00D572A8" w:rsidRDefault="00595292" w:rsidP="005952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572A8">
        <w:rPr>
          <w:rFonts w:ascii="Calibri" w:hAnsi="Calibri" w:cs="Calibri"/>
          <w:color w:val="000000"/>
          <w:sz w:val="22"/>
          <w:szCs w:val="22"/>
        </w:rPr>
        <w:t>Nei casi in cui la violazione sia commessa nell’esercizio di un’attività di impresa, si applica altresì la sanzione amministrativa accessoria della chiusura dell’esercizio o dell’attività da 5 a 30 giorni. Ove necessario per impedire la prosecuzione o la reiterazione della violazione, l’autorità procedente può disporre la chiusura provvisoria dell’attività o dell’esercizio per una durata non superiore a 5 giorni, eventualmente da scomputare dalla sanzione accessoria definitivamente irrogata, in sede di sua esecuzione. In caso di reiterata violazione della medesima disposizione la sanzione amministrativa è raddoppiata e quella accessoria è applicata nella misura massima.</w:t>
      </w:r>
    </w:p>
    <w:p w14:paraId="610DC5AC" w14:textId="77777777" w:rsidR="00595292" w:rsidRDefault="00595292" w:rsidP="0059529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5DD6785" w14:textId="69D91988" w:rsidR="00F33005" w:rsidRPr="00470380" w:rsidRDefault="00F33005" w:rsidP="00652628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48B55A6F" w14:textId="65D8B035" w:rsidR="00F33005" w:rsidRPr="00470380" w:rsidRDefault="00F33005" w:rsidP="00652628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44ECC7E8" w14:textId="4ABDE347" w:rsidR="00652628" w:rsidRPr="00470380" w:rsidRDefault="00652628" w:rsidP="00652628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71C4E605" w14:textId="77777777" w:rsidR="00652628" w:rsidRPr="00470380" w:rsidRDefault="00652628" w:rsidP="00652628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36E42E11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ED141D">
        <w:rPr>
          <w:rFonts w:ascii="Calibri" w:hAnsi="Calibri" w:cs="Calibri"/>
          <w:sz w:val="22"/>
          <w:szCs w:val="22"/>
        </w:rPr>
        <w:t>19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ED141D">
        <w:rPr>
          <w:rFonts w:ascii="Calibri" w:hAnsi="Calibri" w:cs="Calibri"/>
          <w:sz w:val="22"/>
          <w:szCs w:val="22"/>
        </w:rPr>
        <w:t>5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F4D2C" w14:textId="77777777" w:rsidR="00A343EA" w:rsidRDefault="00A343EA">
      <w:r>
        <w:separator/>
      </w:r>
    </w:p>
  </w:endnote>
  <w:endnote w:type="continuationSeparator" w:id="0">
    <w:p w14:paraId="048DC7E9" w14:textId="77777777" w:rsidR="00A343EA" w:rsidRDefault="00A3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CCDB1" w14:textId="77777777" w:rsidR="00A343EA" w:rsidRDefault="00A343EA">
      <w:r>
        <w:separator/>
      </w:r>
    </w:p>
  </w:footnote>
  <w:footnote w:type="continuationSeparator" w:id="0">
    <w:p w14:paraId="4FCFBF13" w14:textId="77777777" w:rsidR="00A343EA" w:rsidRDefault="00A3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343EA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.6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96F3F"/>
    <w:multiLevelType w:val="multilevel"/>
    <w:tmpl w:val="1E8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768DF"/>
    <w:multiLevelType w:val="hybridMultilevel"/>
    <w:tmpl w:val="A0880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1"/>
  </w:num>
  <w:num w:numId="9">
    <w:abstractNumId w:val="24"/>
  </w:num>
  <w:num w:numId="10">
    <w:abstractNumId w:val="20"/>
  </w:num>
  <w:num w:numId="11">
    <w:abstractNumId w:val="10"/>
  </w:num>
  <w:num w:numId="12">
    <w:abstractNumId w:val="19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5"/>
  </w:num>
  <w:num w:numId="22">
    <w:abstractNumId w:val="23"/>
  </w:num>
  <w:num w:numId="23">
    <w:abstractNumId w:val="11"/>
  </w:num>
  <w:num w:numId="24">
    <w:abstractNumId w:val="6"/>
  </w:num>
  <w:num w:numId="25">
    <w:abstractNumId w:val="13"/>
  </w:num>
  <w:num w:numId="2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53110"/>
    <w:rsid w:val="00363BF8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529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06BC8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A526C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4DDE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1CCC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43EA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E5974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572A8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59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6909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12</cp:revision>
  <cp:lastPrinted>2019-02-27T17:41:00Z</cp:lastPrinted>
  <dcterms:created xsi:type="dcterms:W3CDTF">2020-03-20T14:32:00Z</dcterms:created>
  <dcterms:modified xsi:type="dcterms:W3CDTF">2020-05-19T17:02:00Z</dcterms:modified>
</cp:coreProperties>
</file>