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602E4" w14:textId="01AF2013" w:rsidR="00F31A76" w:rsidRDefault="00952E48" w:rsidP="00B4696A">
      <w:pPr>
        <w:pStyle w:val="Rientrocorpodeltesto"/>
        <w:ind w:left="0"/>
        <w:rPr>
          <w:rFonts w:ascii="Calibri" w:eastAsia="Calibri" w:hAnsi="Calibri" w:cs="Calibri"/>
          <w:b/>
          <w:shd w:val="clear" w:color="auto" w:fill="FFFFFF"/>
        </w:rPr>
      </w:pPr>
      <w:r w:rsidRPr="005468CD">
        <w:rPr>
          <w:rFonts w:asciiTheme="minorHAnsi" w:hAnsiTheme="minorHAnsi" w:cstheme="minorHAnsi"/>
          <w:b/>
          <w:noProof/>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E6E4"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132C6A" w:rsidRPr="00132C6A">
        <w:rPr>
          <w:rFonts w:ascii="Calibri" w:eastAsia="Calibri" w:hAnsi="Calibri" w:cs="Calibri"/>
          <w:b/>
          <w:shd w:val="clear" w:color="auto" w:fill="FFFFFF"/>
        </w:rPr>
        <w:t>Inail: modulo OT23 del 2021. Riduzione premio interventi di prevenzione per salute e sicurezza sul lavoro</w:t>
      </w:r>
    </w:p>
    <w:p w14:paraId="2651E7FB" w14:textId="77777777" w:rsidR="00F31A76" w:rsidRDefault="00F31A76" w:rsidP="00B4696A">
      <w:pPr>
        <w:pStyle w:val="Rientrocorpodeltesto"/>
        <w:ind w:left="142"/>
        <w:rPr>
          <w:rFonts w:ascii="Calibri" w:eastAsia="Calibri" w:hAnsi="Calibri" w:cs="Calibri"/>
          <w:b/>
          <w:shd w:val="clear" w:color="auto" w:fill="FFFFFF"/>
        </w:rPr>
      </w:pPr>
    </w:p>
    <w:p w14:paraId="5E29F226" w14:textId="77777777" w:rsidR="00132C6A" w:rsidRPr="0000053D" w:rsidRDefault="00132C6A" w:rsidP="00132C6A">
      <w:pPr>
        <w:rPr>
          <w:rFonts w:ascii="Calibri" w:eastAsia="Calibri" w:hAnsi="Calibri" w:cs="Calibri"/>
          <w:bCs/>
          <w:shd w:val="clear" w:color="auto" w:fill="FFFFFF"/>
        </w:rPr>
      </w:pPr>
      <w:r w:rsidRPr="0000053D">
        <w:rPr>
          <w:rFonts w:ascii="Calibri" w:eastAsia="Calibri" w:hAnsi="Calibri" w:cs="Calibri"/>
          <w:bCs/>
          <w:sz w:val="22"/>
          <w:shd w:val="clear" w:color="auto" w:fill="FFFFFF"/>
        </w:rPr>
        <w:t>Istruzion</w:t>
      </w:r>
      <w:r>
        <w:rPr>
          <w:rFonts w:ascii="Calibri" w:eastAsia="Calibri" w:hAnsi="Calibri" w:cs="Calibri"/>
          <w:bCs/>
          <w:shd w:val="clear" w:color="auto" w:fill="FFFFFF"/>
        </w:rPr>
        <w:t>e</w:t>
      </w:r>
      <w:r w:rsidRPr="0000053D">
        <w:rPr>
          <w:rFonts w:ascii="Calibri" w:eastAsia="Calibri" w:hAnsi="Calibri" w:cs="Calibri"/>
          <w:bCs/>
          <w:sz w:val="22"/>
          <w:shd w:val="clear" w:color="auto" w:fill="FFFFFF"/>
        </w:rPr>
        <w:t xml:space="preserve"> operativ</w:t>
      </w:r>
      <w:r>
        <w:rPr>
          <w:rFonts w:ascii="Calibri" w:eastAsia="Calibri" w:hAnsi="Calibri" w:cs="Calibri"/>
          <w:bCs/>
          <w:shd w:val="clear" w:color="auto" w:fill="FFFFFF"/>
        </w:rPr>
        <w:t>a</w:t>
      </w:r>
      <w:r w:rsidRPr="0000053D">
        <w:rPr>
          <w:rFonts w:ascii="Calibri" w:eastAsia="Calibri" w:hAnsi="Calibri" w:cs="Calibri"/>
          <w:bCs/>
          <w:sz w:val="22"/>
          <w:shd w:val="clear" w:color="auto" w:fill="FFFFFF"/>
        </w:rPr>
        <w:t xml:space="preserve"> INAIL </w:t>
      </w:r>
    </w:p>
    <w:p w14:paraId="48062DFE" w14:textId="77777777" w:rsidR="00F31A76" w:rsidRDefault="00F31A76" w:rsidP="00B4696A">
      <w:pPr>
        <w:ind w:left="142"/>
        <w:jc w:val="both"/>
        <w:rPr>
          <w:rFonts w:ascii="Calibri" w:eastAsia="Calibri" w:hAnsi="Calibri" w:cs="Calibri"/>
          <w:b/>
          <w:shd w:val="clear" w:color="auto" w:fill="FFFFFF"/>
        </w:rPr>
      </w:pPr>
    </w:p>
    <w:p w14:paraId="0F6DF617" w14:textId="77777777" w:rsidR="00132C6A" w:rsidRPr="00132C6A" w:rsidRDefault="00132C6A" w:rsidP="00132C6A">
      <w:pPr>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 xml:space="preserve">L'INAIL ha pubblicato sul proprio </w:t>
      </w:r>
      <w:hyperlink r:id="rId7" w:history="1">
        <w:r w:rsidRPr="00132C6A">
          <w:rPr>
            <w:rStyle w:val="Collegamentoipertestuale"/>
            <w:rFonts w:ascii="Calibri" w:eastAsia="Calibri" w:hAnsi="Calibri" w:cs="Calibri"/>
            <w:sz w:val="22"/>
            <w:szCs w:val="22"/>
            <w:shd w:val="clear" w:color="auto" w:fill="FFFFFF"/>
          </w:rPr>
          <w:t>sito</w:t>
        </w:r>
      </w:hyperlink>
      <w:r w:rsidRPr="00132C6A">
        <w:rPr>
          <w:rFonts w:ascii="Calibri" w:eastAsia="Calibri" w:hAnsi="Calibri" w:cs="Calibri"/>
          <w:sz w:val="22"/>
          <w:szCs w:val="22"/>
          <w:shd w:val="clear" w:color="auto" w:fill="FFFFFF"/>
        </w:rPr>
        <w:t xml:space="preserve"> il modulo di domanda OT23 per la riduzione del tasso medio di tariffa per prevenzione per l’anno 2021, relativo agli interventi migliorativi adottati dalle aziende nel corso del 2020, unitamente all’istruzione operativa del 13 maggio 2020, </w:t>
      </w:r>
      <w:r w:rsidRPr="00132C6A">
        <w:rPr>
          <w:rFonts w:ascii="Calibri" w:eastAsia="Calibri" w:hAnsi="Calibri" w:cs="Calibri"/>
          <w:b/>
          <w:bCs/>
          <w:sz w:val="22"/>
          <w:szCs w:val="22"/>
          <w:shd w:val="clear" w:color="auto" w:fill="FFFFFF"/>
        </w:rPr>
        <w:t>in allegato</w:t>
      </w:r>
      <w:r w:rsidRPr="00132C6A">
        <w:rPr>
          <w:rFonts w:ascii="Calibri" w:eastAsia="Calibri" w:hAnsi="Calibri" w:cs="Calibri"/>
          <w:sz w:val="22"/>
          <w:szCs w:val="22"/>
          <w:shd w:val="clear" w:color="auto" w:fill="FFFFFF"/>
        </w:rPr>
        <w:t xml:space="preserve">. </w:t>
      </w:r>
    </w:p>
    <w:p w14:paraId="08868017" w14:textId="77777777" w:rsidR="00132C6A" w:rsidRPr="00132C6A" w:rsidRDefault="00132C6A" w:rsidP="00132C6A">
      <w:pPr>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 xml:space="preserve">Nel nuovo modello, gli interventi per i quali è possibile richiedere la riduzione sono riorganizzati nelle seguenti categorie: </w:t>
      </w:r>
    </w:p>
    <w:p w14:paraId="2AEC9A85" w14:textId="77777777" w:rsidR="00132C6A" w:rsidRPr="00132C6A" w:rsidRDefault="00132C6A" w:rsidP="00132C6A">
      <w:pPr>
        <w:numPr>
          <w:ilvl w:val="0"/>
          <w:numId w:val="13"/>
        </w:numPr>
        <w:spacing w:after="160" w:line="259" w:lineRule="auto"/>
        <w:ind w:left="720" w:hanging="360"/>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 xml:space="preserve">prevenzione degli infortuni mortali (non stradali); </w:t>
      </w:r>
    </w:p>
    <w:p w14:paraId="51F0A194" w14:textId="77777777" w:rsidR="00132C6A" w:rsidRPr="00132C6A" w:rsidRDefault="00132C6A" w:rsidP="00132C6A">
      <w:pPr>
        <w:numPr>
          <w:ilvl w:val="0"/>
          <w:numId w:val="13"/>
        </w:numPr>
        <w:spacing w:after="160" w:line="259" w:lineRule="auto"/>
        <w:ind w:left="720" w:hanging="360"/>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 xml:space="preserve">prevenzione del rischio stradale; </w:t>
      </w:r>
    </w:p>
    <w:p w14:paraId="17738CA0" w14:textId="77777777" w:rsidR="00132C6A" w:rsidRPr="00132C6A" w:rsidRDefault="00132C6A" w:rsidP="00132C6A">
      <w:pPr>
        <w:numPr>
          <w:ilvl w:val="0"/>
          <w:numId w:val="13"/>
        </w:numPr>
        <w:spacing w:after="160" w:line="259" w:lineRule="auto"/>
        <w:ind w:left="720" w:hanging="360"/>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 xml:space="preserve">prevenzione delle malattie professionali; </w:t>
      </w:r>
    </w:p>
    <w:p w14:paraId="46E69224" w14:textId="77777777" w:rsidR="00132C6A" w:rsidRPr="00132C6A" w:rsidRDefault="00132C6A" w:rsidP="00132C6A">
      <w:pPr>
        <w:numPr>
          <w:ilvl w:val="0"/>
          <w:numId w:val="13"/>
        </w:numPr>
        <w:spacing w:after="160" w:line="259" w:lineRule="auto"/>
        <w:ind w:left="720" w:hanging="360"/>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 xml:space="preserve">formazione, addestramento e informazione; </w:t>
      </w:r>
    </w:p>
    <w:p w14:paraId="16815BE0" w14:textId="77777777" w:rsidR="00132C6A" w:rsidRPr="00132C6A" w:rsidRDefault="00132C6A" w:rsidP="00132C6A">
      <w:pPr>
        <w:numPr>
          <w:ilvl w:val="0"/>
          <w:numId w:val="13"/>
        </w:numPr>
        <w:spacing w:after="160" w:line="259" w:lineRule="auto"/>
        <w:ind w:left="720" w:hanging="360"/>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 xml:space="preserve">misure organizzative per la gestione della salute e sicurezza; </w:t>
      </w:r>
    </w:p>
    <w:p w14:paraId="7BAE7052" w14:textId="77777777" w:rsidR="00132C6A" w:rsidRPr="00132C6A" w:rsidRDefault="00132C6A" w:rsidP="00132C6A">
      <w:pPr>
        <w:numPr>
          <w:ilvl w:val="0"/>
          <w:numId w:val="13"/>
        </w:numPr>
        <w:spacing w:after="160" w:line="259" w:lineRule="auto"/>
        <w:ind w:left="720" w:hanging="360"/>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gestione delle emergenze e dpi.</w:t>
      </w:r>
    </w:p>
    <w:p w14:paraId="6E17F2B9" w14:textId="77777777" w:rsidR="00132C6A" w:rsidRPr="00132C6A" w:rsidRDefault="00132C6A" w:rsidP="00132C6A">
      <w:pPr>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 xml:space="preserve">Rispetto al modello dell’anno scorso, sottolinea l'Istituto, sono semplificate le modalità di attribuzione dei punteggi differenziati in funzione dell’ampiezza dell’ambito dell’intervento o del diverso riferimento tariffario, introdotti nuovi interventi volti a intercettare le situazioni di pericolo che possono determinare infortuni gravi anche con esito mortale ed eliminati altri di minore efficacia </w:t>
      </w:r>
      <w:proofErr w:type="spellStart"/>
      <w:r w:rsidRPr="00132C6A">
        <w:rPr>
          <w:rFonts w:ascii="Calibri" w:eastAsia="Calibri" w:hAnsi="Calibri" w:cs="Calibri"/>
          <w:sz w:val="22"/>
          <w:szCs w:val="22"/>
          <w:shd w:val="clear" w:color="auto" w:fill="FFFFFF"/>
        </w:rPr>
        <w:t>prevenzionale</w:t>
      </w:r>
      <w:proofErr w:type="spellEnd"/>
      <w:r w:rsidRPr="00132C6A">
        <w:rPr>
          <w:rFonts w:ascii="Calibri" w:eastAsia="Calibri" w:hAnsi="Calibri" w:cs="Calibri"/>
          <w:sz w:val="22"/>
          <w:szCs w:val="22"/>
          <w:shd w:val="clear" w:color="auto" w:fill="FFFFFF"/>
        </w:rPr>
        <w:t xml:space="preserve">. </w:t>
      </w:r>
    </w:p>
    <w:p w14:paraId="27C783A4" w14:textId="77777777" w:rsidR="00132C6A" w:rsidRPr="00132C6A" w:rsidRDefault="00132C6A" w:rsidP="00132C6A">
      <w:pPr>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Il nuovo modello inoltre non prevede più le differenziazioni degli interventi sulla base dei parametri trasversale/settoriale e generale/non generale. Per il 2021 viene meno, quindi, salvo che per la categoria delle misure organizzative per la gestione della salute e sicurezza, la condizione per la quale determinati interventi (generali) devono essere attuati su tutte le Posizioni assicurative territoriali (</w:t>
      </w:r>
      <w:proofErr w:type="spellStart"/>
      <w:r w:rsidRPr="00132C6A">
        <w:rPr>
          <w:rFonts w:ascii="Calibri" w:eastAsia="Calibri" w:hAnsi="Calibri" w:cs="Calibri"/>
          <w:sz w:val="22"/>
          <w:szCs w:val="22"/>
          <w:shd w:val="clear" w:color="auto" w:fill="FFFFFF"/>
        </w:rPr>
        <w:t>Pat</w:t>
      </w:r>
      <w:proofErr w:type="spellEnd"/>
      <w:r w:rsidRPr="00132C6A">
        <w:rPr>
          <w:rFonts w:ascii="Calibri" w:eastAsia="Calibri" w:hAnsi="Calibri" w:cs="Calibri"/>
          <w:sz w:val="22"/>
          <w:szCs w:val="22"/>
          <w:shd w:val="clear" w:color="auto" w:fill="FFFFFF"/>
        </w:rPr>
        <w:t xml:space="preserve">) dell’azienda. </w:t>
      </w:r>
    </w:p>
    <w:p w14:paraId="2C11FBBA" w14:textId="77777777" w:rsidR="00132C6A" w:rsidRPr="00132C6A" w:rsidRDefault="00132C6A" w:rsidP="00132C6A">
      <w:pPr>
        <w:rPr>
          <w:rFonts w:ascii="Calibri" w:eastAsia="Calibri" w:hAnsi="Calibri" w:cs="Calibri"/>
          <w:sz w:val="22"/>
          <w:szCs w:val="22"/>
          <w:shd w:val="clear" w:color="auto" w:fill="FFFFFF"/>
        </w:rPr>
      </w:pPr>
      <w:r w:rsidRPr="00132C6A">
        <w:rPr>
          <w:rFonts w:ascii="Calibri" w:eastAsia="Calibri" w:hAnsi="Calibri" w:cs="Calibri"/>
          <w:sz w:val="22"/>
          <w:szCs w:val="22"/>
          <w:shd w:val="clear" w:color="auto" w:fill="FFFFFF"/>
        </w:rPr>
        <w:t>Infine, viene riconosciuta a un maggior numero di casi l’estensione a più anni dell’arco di validità di interventi particolarmente significativi, purché risulti evidenza del mantenimento e della continuità di attuazione degli stessi nell’anno precedente a quello di presentazione della domanda.</w:t>
      </w:r>
    </w:p>
    <w:p w14:paraId="48F2DD8B" w14:textId="77777777" w:rsidR="00132C6A" w:rsidRPr="00132C6A" w:rsidRDefault="00132C6A" w:rsidP="00132C6A">
      <w:pPr>
        <w:rPr>
          <w:rFonts w:ascii="Arial" w:eastAsia="Arial" w:hAnsi="Arial" w:cs="Arial"/>
          <w:b/>
          <w:sz w:val="22"/>
          <w:szCs w:val="22"/>
          <w:shd w:val="clear" w:color="auto" w:fill="FFFFFF"/>
        </w:rPr>
      </w:pPr>
      <w:r w:rsidRPr="00132C6A">
        <w:rPr>
          <w:rFonts w:ascii="Calibri" w:eastAsia="Calibri" w:hAnsi="Calibri" w:cs="Calibri"/>
          <w:sz w:val="22"/>
          <w:szCs w:val="22"/>
          <w:shd w:val="clear" w:color="auto" w:fill="FFFFFF"/>
        </w:rPr>
        <w:t xml:space="preserve">L'INAIL informa che è in programma anche la pubblicazione della Guida alla compilazione del modello di domanda. </w:t>
      </w:r>
      <w:r w:rsidRPr="00132C6A">
        <w:rPr>
          <w:rFonts w:ascii="Arial" w:eastAsia="Arial" w:hAnsi="Arial" w:cs="Arial"/>
          <w:b/>
          <w:sz w:val="22"/>
          <w:szCs w:val="22"/>
          <w:shd w:val="clear" w:color="auto" w:fill="FFFFFF"/>
        </w:rPr>
        <w:br/>
      </w:r>
    </w:p>
    <w:p w14:paraId="25D7F364" w14:textId="1F265414" w:rsidR="00B4696A" w:rsidRPr="00132C6A" w:rsidRDefault="00B4696A" w:rsidP="00B4696A">
      <w:pPr>
        <w:rPr>
          <w:sz w:val="22"/>
          <w:szCs w:val="22"/>
        </w:rPr>
      </w:pPr>
    </w:p>
    <w:p w14:paraId="30FCC125" w14:textId="72CDF341" w:rsidR="0018560E" w:rsidRDefault="0018560E" w:rsidP="005468CD">
      <w:pPr>
        <w:pStyle w:val="Rientrocorpodeltesto"/>
        <w:ind w:left="142"/>
        <w:rPr>
          <w:rFonts w:asciiTheme="minorHAnsi" w:hAnsiTheme="minorHAnsi" w:cstheme="minorHAnsi"/>
          <w:b/>
          <w:szCs w:val="22"/>
        </w:rPr>
      </w:pPr>
    </w:p>
    <w:p w14:paraId="61FA0B08" w14:textId="77777777" w:rsidR="00B4696A" w:rsidRPr="005468CD" w:rsidRDefault="00B4696A" w:rsidP="005468CD">
      <w:pPr>
        <w:pStyle w:val="Rientrocorpodeltesto"/>
        <w:ind w:left="142"/>
        <w:rPr>
          <w:rFonts w:asciiTheme="minorHAnsi" w:hAnsiTheme="minorHAnsi" w:cstheme="minorHAnsi"/>
          <w:b/>
          <w:szCs w:val="22"/>
        </w:rPr>
      </w:pPr>
    </w:p>
    <w:p w14:paraId="25A5B4D7" w14:textId="77777777" w:rsidR="00180EB0" w:rsidRPr="005468CD" w:rsidRDefault="00180EB0" w:rsidP="005468CD">
      <w:pPr>
        <w:autoSpaceDE w:val="0"/>
        <w:autoSpaceDN w:val="0"/>
        <w:adjustRightInd w:val="0"/>
        <w:ind w:left="142"/>
        <w:jc w:val="both"/>
        <w:rPr>
          <w:rFonts w:asciiTheme="minorHAnsi" w:hAnsiTheme="minorHAnsi" w:cs="Tahoma"/>
          <w:b/>
          <w:bCs/>
          <w:sz w:val="22"/>
          <w:szCs w:val="22"/>
        </w:rPr>
      </w:pPr>
      <w:r w:rsidRPr="005468CD">
        <w:rPr>
          <w:rFonts w:asciiTheme="minorHAnsi" w:hAnsiTheme="minorHAnsi" w:cs="Tahoma"/>
          <w:b/>
          <w:bCs/>
          <w:sz w:val="22"/>
          <w:szCs w:val="22"/>
        </w:rPr>
        <w:t>Riferimenti:</w:t>
      </w:r>
    </w:p>
    <w:p w14:paraId="61175D24" w14:textId="13FA2665" w:rsidR="00180EB0" w:rsidRPr="005468CD" w:rsidRDefault="00180EB0" w:rsidP="005468CD">
      <w:pPr>
        <w:autoSpaceDE w:val="0"/>
        <w:autoSpaceDN w:val="0"/>
        <w:adjustRightInd w:val="0"/>
        <w:ind w:left="142"/>
        <w:jc w:val="both"/>
        <w:rPr>
          <w:rFonts w:asciiTheme="minorHAnsi" w:hAnsiTheme="minorHAnsi" w:cs="Tahoma"/>
          <w:sz w:val="22"/>
          <w:szCs w:val="22"/>
        </w:rPr>
      </w:pPr>
      <w:r w:rsidRPr="005468CD">
        <w:rPr>
          <w:rFonts w:asciiTheme="minorHAnsi" w:hAnsiTheme="minorHAnsi" w:cs="Tahoma"/>
          <w:sz w:val="22"/>
          <w:szCs w:val="22"/>
        </w:rPr>
        <w:t xml:space="preserve">Confindustria Umbria - Area Ambiente e Sicurezza </w:t>
      </w:r>
      <w:r w:rsidR="00204EDD" w:rsidRPr="005468CD">
        <w:rPr>
          <w:rFonts w:asciiTheme="minorHAnsi" w:hAnsiTheme="minorHAnsi" w:cs="Tahoma"/>
          <w:sz w:val="22"/>
          <w:szCs w:val="22"/>
        </w:rPr>
        <w:t xml:space="preserve">- </w:t>
      </w:r>
      <w:hyperlink r:id="rId8" w:history="1">
        <w:r w:rsidRPr="005468CD">
          <w:rPr>
            <w:rStyle w:val="Collegamentoipertestuale"/>
            <w:rFonts w:asciiTheme="minorHAnsi" w:hAnsiTheme="minorHAnsi" w:cs="Tahoma"/>
            <w:sz w:val="22"/>
            <w:szCs w:val="22"/>
          </w:rPr>
          <w:t>sicurezza@confindustria.umbria.it</w:t>
        </w:r>
      </w:hyperlink>
      <w:r w:rsidR="00E40853" w:rsidRPr="005468CD">
        <w:rPr>
          <w:rStyle w:val="Collegamentoipertestuale"/>
          <w:rFonts w:asciiTheme="minorHAnsi" w:hAnsiTheme="minorHAnsi" w:cs="Tahoma"/>
          <w:sz w:val="22"/>
          <w:szCs w:val="22"/>
        </w:rPr>
        <w:t xml:space="preserve"> </w:t>
      </w:r>
    </w:p>
    <w:p w14:paraId="585D2164" w14:textId="1F6AB34E" w:rsidR="00180EB0" w:rsidRPr="005468CD" w:rsidRDefault="00132C6A" w:rsidP="005468CD">
      <w:pPr>
        <w:autoSpaceDE w:val="0"/>
        <w:autoSpaceDN w:val="0"/>
        <w:adjustRightInd w:val="0"/>
        <w:ind w:left="142"/>
        <w:jc w:val="both"/>
        <w:rPr>
          <w:rFonts w:asciiTheme="minorHAnsi" w:hAnsiTheme="minorHAnsi" w:cs="Tahoma"/>
          <w:sz w:val="22"/>
          <w:szCs w:val="22"/>
        </w:rPr>
      </w:pPr>
      <w:r w:rsidRPr="005468CD">
        <w:rPr>
          <w:rFonts w:asciiTheme="minorHAnsi" w:hAnsiTheme="minorHAnsi" w:cs="Tahoma"/>
          <w:sz w:val="22"/>
          <w:szCs w:val="22"/>
        </w:rPr>
        <w:t xml:space="preserve">Dott. Dominici Tel. 0744/443418 </w:t>
      </w:r>
      <w:r>
        <w:rPr>
          <w:rFonts w:asciiTheme="minorHAnsi" w:hAnsiTheme="minorHAnsi" w:cs="Tahoma"/>
          <w:sz w:val="22"/>
          <w:szCs w:val="22"/>
        </w:rPr>
        <w:t xml:space="preserve">- </w:t>
      </w:r>
      <w:r w:rsidR="00180EB0" w:rsidRPr="005468CD">
        <w:rPr>
          <w:rFonts w:asciiTheme="minorHAnsi" w:hAnsiTheme="minorHAnsi" w:cs="Tahoma"/>
          <w:sz w:val="22"/>
          <w:szCs w:val="22"/>
        </w:rPr>
        <w:t>Dott. Di Matteo Tel. 075/5820227</w:t>
      </w:r>
      <w:r w:rsidR="00C9531F">
        <w:rPr>
          <w:rFonts w:asciiTheme="minorHAnsi" w:hAnsiTheme="minorHAnsi" w:cs="Tahoma"/>
          <w:sz w:val="22"/>
          <w:szCs w:val="22"/>
        </w:rPr>
        <w:t xml:space="preserve"> </w:t>
      </w:r>
    </w:p>
    <w:p w14:paraId="7B0157E5" w14:textId="7CF227BE" w:rsidR="000508B8" w:rsidRPr="005468CD" w:rsidRDefault="000508B8" w:rsidP="005468CD">
      <w:pPr>
        <w:tabs>
          <w:tab w:val="left" w:pos="720"/>
          <w:tab w:val="left" w:pos="900"/>
          <w:tab w:val="left" w:pos="1260"/>
          <w:tab w:val="left" w:pos="5580"/>
          <w:tab w:val="left" w:pos="6120"/>
        </w:tabs>
        <w:ind w:left="142"/>
        <w:jc w:val="both"/>
        <w:rPr>
          <w:rFonts w:asciiTheme="minorHAnsi" w:hAnsiTheme="minorHAnsi" w:cs="Arial"/>
          <w:sz w:val="22"/>
          <w:szCs w:val="22"/>
        </w:rPr>
      </w:pPr>
    </w:p>
    <w:p w14:paraId="70EB9F47" w14:textId="1A4A5F5B" w:rsidR="0098494C" w:rsidRPr="005468CD" w:rsidRDefault="0098494C" w:rsidP="005468CD">
      <w:pPr>
        <w:tabs>
          <w:tab w:val="left" w:pos="720"/>
          <w:tab w:val="left" w:pos="900"/>
          <w:tab w:val="left" w:pos="1260"/>
          <w:tab w:val="left" w:pos="5580"/>
          <w:tab w:val="left" w:pos="6120"/>
        </w:tabs>
        <w:ind w:left="142"/>
        <w:jc w:val="both"/>
        <w:rPr>
          <w:rFonts w:asciiTheme="minorHAnsi" w:hAnsiTheme="minorHAnsi" w:cs="Arial"/>
          <w:sz w:val="22"/>
          <w:szCs w:val="22"/>
        </w:rPr>
      </w:pPr>
    </w:p>
    <w:p w14:paraId="79352554" w14:textId="7E1809E8" w:rsidR="00F543ED" w:rsidRPr="005468CD" w:rsidRDefault="00F543ED" w:rsidP="00132C6A">
      <w:pPr>
        <w:tabs>
          <w:tab w:val="left" w:pos="720"/>
          <w:tab w:val="left" w:pos="900"/>
          <w:tab w:val="left" w:pos="1260"/>
          <w:tab w:val="left" w:pos="5580"/>
          <w:tab w:val="left" w:pos="6120"/>
        </w:tabs>
        <w:jc w:val="both"/>
        <w:rPr>
          <w:rFonts w:asciiTheme="minorHAnsi" w:hAnsiTheme="minorHAnsi" w:cs="Arial"/>
          <w:sz w:val="22"/>
          <w:szCs w:val="22"/>
        </w:rPr>
      </w:pPr>
    </w:p>
    <w:p w14:paraId="7B4109A1" w14:textId="77777777" w:rsidR="00B7079F" w:rsidRPr="005468CD" w:rsidRDefault="00B7079F" w:rsidP="005468CD">
      <w:pPr>
        <w:tabs>
          <w:tab w:val="left" w:pos="720"/>
          <w:tab w:val="left" w:pos="900"/>
          <w:tab w:val="left" w:pos="1260"/>
          <w:tab w:val="left" w:pos="5580"/>
          <w:tab w:val="left" w:pos="6120"/>
        </w:tabs>
        <w:ind w:left="142"/>
        <w:jc w:val="both"/>
        <w:rPr>
          <w:rFonts w:asciiTheme="minorHAnsi" w:hAnsiTheme="minorHAnsi" w:cs="Arial"/>
          <w:sz w:val="22"/>
          <w:szCs w:val="22"/>
        </w:rPr>
      </w:pPr>
    </w:p>
    <w:p w14:paraId="6CFEE0C5" w14:textId="163E65A4" w:rsidR="00FA09FD" w:rsidRPr="005468CD" w:rsidRDefault="00FA09FD" w:rsidP="005468CD">
      <w:pPr>
        <w:tabs>
          <w:tab w:val="left" w:pos="720"/>
          <w:tab w:val="left" w:pos="900"/>
          <w:tab w:val="left" w:pos="1260"/>
          <w:tab w:val="left" w:pos="5580"/>
          <w:tab w:val="left" w:pos="6120"/>
        </w:tabs>
        <w:ind w:left="142"/>
        <w:jc w:val="right"/>
        <w:rPr>
          <w:rFonts w:asciiTheme="minorHAnsi" w:hAnsiTheme="minorHAnsi" w:cs="Arial"/>
          <w:sz w:val="22"/>
          <w:szCs w:val="22"/>
        </w:rPr>
      </w:pPr>
      <w:r w:rsidRPr="005468CD">
        <w:rPr>
          <w:rFonts w:asciiTheme="minorHAnsi" w:hAnsiTheme="minorHAnsi" w:cs="Arial"/>
          <w:sz w:val="22"/>
          <w:szCs w:val="22"/>
        </w:rPr>
        <w:t xml:space="preserve">Pubblicata il </w:t>
      </w:r>
      <w:r w:rsidR="0018560E">
        <w:rPr>
          <w:rFonts w:asciiTheme="minorHAnsi" w:hAnsiTheme="minorHAnsi" w:cs="Arial"/>
          <w:sz w:val="22"/>
          <w:szCs w:val="22"/>
        </w:rPr>
        <w:t>1</w:t>
      </w:r>
      <w:r w:rsidR="00B4696A">
        <w:rPr>
          <w:rFonts w:asciiTheme="minorHAnsi" w:hAnsiTheme="minorHAnsi" w:cs="Arial"/>
          <w:sz w:val="22"/>
          <w:szCs w:val="22"/>
        </w:rPr>
        <w:t>9</w:t>
      </w:r>
      <w:r w:rsidR="0018560E">
        <w:rPr>
          <w:rFonts w:asciiTheme="minorHAnsi" w:hAnsiTheme="minorHAnsi" w:cs="Arial"/>
          <w:sz w:val="22"/>
          <w:szCs w:val="22"/>
        </w:rPr>
        <w:t>/05</w:t>
      </w:r>
      <w:r w:rsidR="0010225E" w:rsidRPr="005468CD">
        <w:rPr>
          <w:rFonts w:asciiTheme="minorHAnsi" w:hAnsiTheme="minorHAnsi" w:cs="Arial"/>
          <w:sz w:val="22"/>
          <w:szCs w:val="22"/>
        </w:rPr>
        <w:t>/2020</w:t>
      </w:r>
    </w:p>
    <w:sectPr w:rsidR="00FA09FD" w:rsidRPr="005468CD" w:rsidSect="00EF461E">
      <w:headerReference w:type="first" r:id="rId9"/>
      <w:footerReference w:type="first" r:id="rId10"/>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0B4CC" w14:textId="77777777" w:rsidR="00B22125" w:rsidRDefault="00B22125">
      <w:r>
        <w:separator/>
      </w:r>
    </w:p>
  </w:endnote>
  <w:endnote w:type="continuationSeparator" w:id="0">
    <w:p w14:paraId="0907428A" w14:textId="77777777" w:rsidR="00B22125" w:rsidRDefault="00B2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0D3B6" w14:textId="77777777" w:rsidR="00B22125" w:rsidRDefault="00B22125">
      <w:r>
        <w:separator/>
      </w:r>
    </w:p>
  </w:footnote>
  <w:footnote w:type="continuationSeparator" w:id="0">
    <w:p w14:paraId="51912C04" w14:textId="77777777" w:rsidR="00B22125" w:rsidRDefault="00B2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270A"/>
    <w:multiLevelType w:val="hybridMultilevel"/>
    <w:tmpl w:val="E722A98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1179"/>
    <w:multiLevelType w:val="hybridMultilevel"/>
    <w:tmpl w:val="2A960C9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1A445495"/>
    <w:multiLevelType w:val="hybridMultilevel"/>
    <w:tmpl w:val="460CB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426337"/>
    <w:multiLevelType w:val="multilevel"/>
    <w:tmpl w:val="230E2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AA6B19"/>
    <w:multiLevelType w:val="multilevel"/>
    <w:tmpl w:val="DB6C7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0C3289"/>
    <w:multiLevelType w:val="multilevel"/>
    <w:tmpl w:val="C63A3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6731A6"/>
    <w:multiLevelType w:val="hybridMultilevel"/>
    <w:tmpl w:val="2FD20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39559C"/>
    <w:multiLevelType w:val="hybridMultilevel"/>
    <w:tmpl w:val="36BC1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6C7BFF"/>
    <w:multiLevelType w:val="hybridMultilevel"/>
    <w:tmpl w:val="522CF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3E16E1"/>
    <w:multiLevelType w:val="hybridMultilevel"/>
    <w:tmpl w:val="CBA89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1"/>
  </w:num>
  <w:num w:numId="5">
    <w:abstractNumId w:val="12"/>
  </w:num>
  <w:num w:numId="6">
    <w:abstractNumId w:val="10"/>
  </w:num>
  <w:num w:numId="7">
    <w:abstractNumId w:val="3"/>
  </w:num>
  <w:num w:numId="8">
    <w:abstractNumId w:val="0"/>
  </w:num>
  <w:num w:numId="9">
    <w:abstractNumId w:val="2"/>
  </w:num>
  <w:num w:numId="10">
    <w:abstractNumId w:val="8"/>
  </w:num>
  <w:num w:numId="11">
    <w:abstractNumId w:val="6"/>
  </w:num>
  <w:num w:numId="12">
    <w:abstractNumId w:val="5"/>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18"/>
    <w:rsid w:val="00000911"/>
    <w:rsid w:val="000018C4"/>
    <w:rsid w:val="0000376A"/>
    <w:rsid w:val="0000679D"/>
    <w:rsid w:val="00012D58"/>
    <w:rsid w:val="00014CFE"/>
    <w:rsid w:val="00015150"/>
    <w:rsid w:val="00017F8A"/>
    <w:rsid w:val="00022C88"/>
    <w:rsid w:val="00031409"/>
    <w:rsid w:val="00036369"/>
    <w:rsid w:val="00037418"/>
    <w:rsid w:val="000375BB"/>
    <w:rsid w:val="00040563"/>
    <w:rsid w:val="00040CFB"/>
    <w:rsid w:val="000508B8"/>
    <w:rsid w:val="00052071"/>
    <w:rsid w:val="00052711"/>
    <w:rsid w:val="000539CB"/>
    <w:rsid w:val="0006625B"/>
    <w:rsid w:val="00067E67"/>
    <w:rsid w:val="00076E3E"/>
    <w:rsid w:val="0009034E"/>
    <w:rsid w:val="00093B32"/>
    <w:rsid w:val="000A464B"/>
    <w:rsid w:val="000A47FE"/>
    <w:rsid w:val="000A66E5"/>
    <w:rsid w:val="000B0A9D"/>
    <w:rsid w:val="000B47DF"/>
    <w:rsid w:val="000B7C0F"/>
    <w:rsid w:val="000B7C86"/>
    <w:rsid w:val="000C3208"/>
    <w:rsid w:val="000D0E46"/>
    <w:rsid w:val="000D258E"/>
    <w:rsid w:val="000D3FED"/>
    <w:rsid w:val="0010225E"/>
    <w:rsid w:val="001031E9"/>
    <w:rsid w:val="00115A2B"/>
    <w:rsid w:val="0012199E"/>
    <w:rsid w:val="00121D8E"/>
    <w:rsid w:val="00123130"/>
    <w:rsid w:val="0013046D"/>
    <w:rsid w:val="00132C6A"/>
    <w:rsid w:val="00134F3B"/>
    <w:rsid w:val="0013516E"/>
    <w:rsid w:val="00142577"/>
    <w:rsid w:val="00151BDD"/>
    <w:rsid w:val="00177767"/>
    <w:rsid w:val="00180EB0"/>
    <w:rsid w:val="0018111E"/>
    <w:rsid w:val="0018560E"/>
    <w:rsid w:val="001867E9"/>
    <w:rsid w:val="00187B99"/>
    <w:rsid w:val="00190AD1"/>
    <w:rsid w:val="001920C8"/>
    <w:rsid w:val="001A0EA6"/>
    <w:rsid w:val="001A326F"/>
    <w:rsid w:val="001A3F4A"/>
    <w:rsid w:val="001A5F97"/>
    <w:rsid w:val="001B0B61"/>
    <w:rsid w:val="001B6900"/>
    <w:rsid w:val="001B7ED8"/>
    <w:rsid w:val="001C016B"/>
    <w:rsid w:val="001C40EE"/>
    <w:rsid w:val="001D02EF"/>
    <w:rsid w:val="001D4E62"/>
    <w:rsid w:val="001D7618"/>
    <w:rsid w:val="001D7F3D"/>
    <w:rsid w:val="001E08BB"/>
    <w:rsid w:val="001E720B"/>
    <w:rsid w:val="00202F9D"/>
    <w:rsid w:val="00203224"/>
    <w:rsid w:val="00204EDD"/>
    <w:rsid w:val="00210ED4"/>
    <w:rsid w:val="00211B7C"/>
    <w:rsid w:val="002131BC"/>
    <w:rsid w:val="002161EA"/>
    <w:rsid w:val="002166C4"/>
    <w:rsid w:val="00234FFA"/>
    <w:rsid w:val="00235BB7"/>
    <w:rsid w:val="00237B46"/>
    <w:rsid w:val="00243355"/>
    <w:rsid w:val="00243A70"/>
    <w:rsid w:val="002460FF"/>
    <w:rsid w:val="00251D4B"/>
    <w:rsid w:val="00254B89"/>
    <w:rsid w:val="00256DDA"/>
    <w:rsid w:val="00261EB5"/>
    <w:rsid w:val="00263ECC"/>
    <w:rsid w:val="00267AF5"/>
    <w:rsid w:val="002743A5"/>
    <w:rsid w:val="002816BB"/>
    <w:rsid w:val="00281DC7"/>
    <w:rsid w:val="002878D5"/>
    <w:rsid w:val="0029162B"/>
    <w:rsid w:val="0029389C"/>
    <w:rsid w:val="002A1E99"/>
    <w:rsid w:val="002B5C79"/>
    <w:rsid w:val="002B7EEB"/>
    <w:rsid w:val="002D1D07"/>
    <w:rsid w:val="002D3D96"/>
    <w:rsid w:val="002E0AB5"/>
    <w:rsid w:val="002E1DC5"/>
    <w:rsid w:val="002E1E84"/>
    <w:rsid w:val="002E7598"/>
    <w:rsid w:val="002F418F"/>
    <w:rsid w:val="002F42D1"/>
    <w:rsid w:val="002F4384"/>
    <w:rsid w:val="002F4B42"/>
    <w:rsid w:val="002F577A"/>
    <w:rsid w:val="002F7ACD"/>
    <w:rsid w:val="00301739"/>
    <w:rsid w:val="00302239"/>
    <w:rsid w:val="00312416"/>
    <w:rsid w:val="00314FAD"/>
    <w:rsid w:val="00315C01"/>
    <w:rsid w:val="00322A6F"/>
    <w:rsid w:val="00326B28"/>
    <w:rsid w:val="0033105D"/>
    <w:rsid w:val="0033361D"/>
    <w:rsid w:val="00334062"/>
    <w:rsid w:val="003405C4"/>
    <w:rsid w:val="00350A0A"/>
    <w:rsid w:val="00355CF5"/>
    <w:rsid w:val="00363E3E"/>
    <w:rsid w:val="00366AF0"/>
    <w:rsid w:val="00376950"/>
    <w:rsid w:val="00376AC3"/>
    <w:rsid w:val="00381A37"/>
    <w:rsid w:val="00391B52"/>
    <w:rsid w:val="0039681E"/>
    <w:rsid w:val="003A376E"/>
    <w:rsid w:val="003A4BE7"/>
    <w:rsid w:val="003A79EB"/>
    <w:rsid w:val="003B232D"/>
    <w:rsid w:val="003B2A5D"/>
    <w:rsid w:val="003B5C6C"/>
    <w:rsid w:val="003C2FA9"/>
    <w:rsid w:val="003C5532"/>
    <w:rsid w:val="003C6CDD"/>
    <w:rsid w:val="003D27AD"/>
    <w:rsid w:val="003E4FF5"/>
    <w:rsid w:val="003F182D"/>
    <w:rsid w:val="003F4FCA"/>
    <w:rsid w:val="003F79F0"/>
    <w:rsid w:val="004016F0"/>
    <w:rsid w:val="00410350"/>
    <w:rsid w:val="004166FC"/>
    <w:rsid w:val="00416739"/>
    <w:rsid w:val="004176D9"/>
    <w:rsid w:val="00422AFC"/>
    <w:rsid w:val="0042628C"/>
    <w:rsid w:val="004310C8"/>
    <w:rsid w:val="0043172E"/>
    <w:rsid w:val="004334F8"/>
    <w:rsid w:val="00434368"/>
    <w:rsid w:val="004367B1"/>
    <w:rsid w:val="00442941"/>
    <w:rsid w:val="004533F1"/>
    <w:rsid w:val="00453F9C"/>
    <w:rsid w:val="004545E4"/>
    <w:rsid w:val="00460490"/>
    <w:rsid w:val="00472D2B"/>
    <w:rsid w:val="00473B65"/>
    <w:rsid w:val="0048380D"/>
    <w:rsid w:val="0049009F"/>
    <w:rsid w:val="00491366"/>
    <w:rsid w:val="00492040"/>
    <w:rsid w:val="00492B5B"/>
    <w:rsid w:val="00495AA2"/>
    <w:rsid w:val="004A2834"/>
    <w:rsid w:val="004B13AA"/>
    <w:rsid w:val="004B22FF"/>
    <w:rsid w:val="004B38E9"/>
    <w:rsid w:val="004B3A08"/>
    <w:rsid w:val="004B533C"/>
    <w:rsid w:val="004C2CC8"/>
    <w:rsid w:val="004C674B"/>
    <w:rsid w:val="004D0745"/>
    <w:rsid w:val="004D0D80"/>
    <w:rsid w:val="004D48E8"/>
    <w:rsid w:val="004D4C6D"/>
    <w:rsid w:val="004D5A9B"/>
    <w:rsid w:val="004E4D74"/>
    <w:rsid w:val="004E651F"/>
    <w:rsid w:val="004E6896"/>
    <w:rsid w:val="004F2ABA"/>
    <w:rsid w:val="004F6EDA"/>
    <w:rsid w:val="00500EA1"/>
    <w:rsid w:val="00512468"/>
    <w:rsid w:val="00523407"/>
    <w:rsid w:val="00524EFB"/>
    <w:rsid w:val="00531CA4"/>
    <w:rsid w:val="0053609D"/>
    <w:rsid w:val="00544C14"/>
    <w:rsid w:val="005456CC"/>
    <w:rsid w:val="005468CD"/>
    <w:rsid w:val="00550830"/>
    <w:rsid w:val="00554481"/>
    <w:rsid w:val="00555C30"/>
    <w:rsid w:val="00557C82"/>
    <w:rsid w:val="00562B53"/>
    <w:rsid w:val="00563034"/>
    <w:rsid w:val="005647F1"/>
    <w:rsid w:val="005648A3"/>
    <w:rsid w:val="00565BA4"/>
    <w:rsid w:val="0056754F"/>
    <w:rsid w:val="00570834"/>
    <w:rsid w:val="00571AA5"/>
    <w:rsid w:val="0057317C"/>
    <w:rsid w:val="00575424"/>
    <w:rsid w:val="005820FC"/>
    <w:rsid w:val="00584B1D"/>
    <w:rsid w:val="005858EE"/>
    <w:rsid w:val="00587A72"/>
    <w:rsid w:val="005A192E"/>
    <w:rsid w:val="005A29F4"/>
    <w:rsid w:val="005B606F"/>
    <w:rsid w:val="005C51D8"/>
    <w:rsid w:val="005D46EE"/>
    <w:rsid w:val="005E5DA8"/>
    <w:rsid w:val="005F20BE"/>
    <w:rsid w:val="005F3E3C"/>
    <w:rsid w:val="006036C2"/>
    <w:rsid w:val="00607CBF"/>
    <w:rsid w:val="00621DA9"/>
    <w:rsid w:val="00624B5A"/>
    <w:rsid w:val="00632F96"/>
    <w:rsid w:val="00636216"/>
    <w:rsid w:val="006411A6"/>
    <w:rsid w:val="00641393"/>
    <w:rsid w:val="00641A35"/>
    <w:rsid w:val="00641CBB"/>
    <w:rsid w:val="00642F84"/>
    <w:rsid w:val="00645EDE"/>
    <w:rsid w:val="00650D6B"/>
    <w:rsid w:val="0065619B"/>
    <w:rsid w:val="00670405"/>
    <w:rsid w:val="0067055C"/>
    <w:rsid w:val="0067483E"/>
    <w:rsid w:val="006A01F4"/>
    <w:rsid w:val="006A30FE"/>
    <w:rsid w:val="006A528D"/>
    <w:rsid w:val="006A723F"/>
    <w:rsid w:val="006B0391"/>
    <w:rsid w:val="006B1BBB"/>
    <w:rsid w:val="006B6715"/>
    <w:rsid w:val="006B7428"/>
    <w:rsid w:val="006C5530"/>
    <w:rsid w:val="006C6C8E"/>
    <w:rsid w:val="006D10EF"/>
    <w:rsid w:val="006D3209"/>
    <w:rsid w:val="006D7078"/>
    <w:rsid w:val="006E5B05"/>
    <w:rsid w:val="006F14A3"/>
    <w:rsid w:val="006F159B"/>
    <w:rsid w:val="00701962"/>
    <w:rsid w:val="00716959"/>
    <w:rsid w:val="00720E4A"/>
    <w:rsid w:val="00725DFF"/>
    <w:rsid w:val="0073518B"/>
    <w:rsid w:val="0074024E"/>
    <w:rsid w:val="00740910"/>
    <w:rsid w:val="007458BB"/>
    <w:rsid w:val="00747711"/>
    <w:rsid w:val="00750D1B"/>
    <w:rsid w:val="00751090"/>
    <w:rsid w:val="007520B7"/>
    <w:rsid w:val="007544E9"/>
    <w:rsid w:val="00754A80"/>
    <w:rsid w:val="0075722D"/>
    <w:rsid w:val="00762CDD"/>
    <w:rsid w:val="007652FC"/>
    <w:rsid w:val="007713E4"/>
    <w:rsid w:val="00774882"/>
    <w:rsid w:val="007817A1"/>
    <w:rsid w:val="007824AD"/>
    <w:rsid w:val="00782D77"/>
    <w:rsid w:val="00783E6E"/>
    <w:rsid w:val="00784FF1"/>
    <w:rsid w:val="007A1752"/>
    <w:rsid w:val="007A7B0B"/>
    <w:rsid w:val="007B0230"/>
    <w:rsid w:val="007B0324"/>
    <w:rsid w:val="007B0628"/>
    <w:rsid w:val="007B3AA0"/>
    <w:rsid w:val="007B4FE7"/>
    <w:rsid w:val="007B72D4"/>
    <w:rsid w:val="007B7D2A"/>
    <w:rsid w:val="007C25D0"/>
    <w:rsid w:val="007C71FA"/>
    <w:rsid w:val="007D1B92"/>
    <w:rsid w:val="007D3D8E"/>
    <w:rsid w:val="007D7A85"/>
    <w:rsid w:val="007E1EAD"/>
    <w:rsid w:val="007E7D8E"/>
    <w:rsid w:val="007F3972"/>
    <w:rsid w:val="007F61DB"/>
    <w:rsid w:val="007F61EA"/>
    <w:rsid w:val="00813BAD"/>
    <w:rsid w:val="00815CB3"/>
    <w:rsid w:val="00824701"/>
    <w:rsid w:val="008317A5"/>
    <w:rsid w:val="008366B5"/>
    <w:rsid w:val="008433BB"/>
    <w:rsid w:val="00850549"/>
    <w:rsid w:val="00853B99"/>
    <w:rsid w:val="00854CC4"/>
    <w:rsid w:val="008624CD"/>
    <w:rsid w:val="0088152F"/>
    <w:rsid w:val="008828D8"/>
    <w:rsid w:val="00884E03"/>
    <w:rsid w:val="00885913"/>
    <w:rsid w:val="008878E3"/>
    <w:rsid w:val="00895D5A"/>
    <w:rsid w:val="00896421"/>
    <w:rsid w:val="008A51D5"/>
    <w:rsid w:val="008A559C"/>
    <w:rsid w:val="008A5F76"/>
    <w:rsid w:val="008B09F1"/>
    <w:rsid w:val="008B4111"/>
    <w:rsid w:val="008B4820"/>
    <w:rsid w:val="008B79BC"/>
    <w:rsid w:val="008C54AE"/>
    <w:rsid w:val="008C6FB9"/>
    <w:rsid w:val="008D2770"/>
    <w:rsid w:val="008E731C"/>
    <w:rsid w:val="008E7E36"/>
    <w:rsid w:val="008F3959"/>
    <w:rsid w:val="008F4F0B"/>
    <w:rsid w:val="008F7A33"/>
    <w:rsid w:val="008F7B14"/>
    <w:rsid w:val="00902B38"/>
    <w:rsid w:val="0090616B"/>
    <w:rsid w:val="00914796"/>
    <w:rsid w:val="00914BC8"/>
    <w:rsid w:val="00915E60"/>
    <w:rsid w:val="009173AD"/>
    <w:rsid w:val="00927143"/>
    <w:rsid w:val="009343FE"/>
    <w:rsid w:val="009365B8"/>
    <w:rsid w:val="009431DB"/>
    <w:rsid w:val="00952E48"/>
    <w:rsid w:val="009572C2"/>
    <w:rsid w:val="00957C7D"/>
    <w:rsid w:val="0096229E"/>
    <w:rsid w:val="00967EB0"/>
    <w:rsid w:val="00972881"/>
    <w:rsid w:val="00980756"/>
    <w:rsid w:val="0098494C"/>
    <w:rsid w:val="0099127D"/>
    <w:rsid w:val="00991709"/>
    <w:rsid w:val="009A1912"/>
    <w:rsid w:val="009A3967"/>
    <w:rsid w:val="009A3DAF"/>
    <w:rsid w:val="009A54AF"/>
    <w:rsid w:val="009A7003"/>
    <w:rsid w:val="009B2618"/>
    <w:rsid w:val="009B26C6"/>
    <w:rsid w:val="009C0D76"/>
    <w:rsid w:val="009C39C6"/>
    <w:rsid w:val="009D26C3"/>
    <w:rsid w:val="009D4308"/>
    <w:rsid w:val="009D4D86"/>
    <w:rsid w:val="009D59C3"/>
    <w:rsid w:val="009E47B9"/>
    <w:rsid w:val="009E7085"/>
    <w:rsid w:val="009E718E"/>
    <w:rsid w:val="009F11A9"/>
    <w:rsid w:val="009F195B"/>
    <w:rsid w:val="009F1995"/>
    <w:rsid w:val="009F3F5A"/>
    <w:rsid w:val="00A13446"/>
    <w:rsid w:val="00A14320"/>
    <w:rsid w:val="00A16DB3"/>
    <w:rsid w:val="00A17D18"/>
    <w:rsid w:val="00A20B8E"/>
    <w:rsid w:val="00A2153E"/>
    <w:rsid w:val="00A23314"/>
    <w:rsid w:val="00A2403B"/>
    <w:rsid w:val="00A24445"/>
    <w:rsid w:val="00A3267E"/>
    <w:rsid w:val="00A32795"/>
    <w:rsid w:val="00A35E9C"/>
    <w:rsid w:val="00A36B5E"/>
    <w:rsid w:val="00A40C8D"/>
    <w:rsid w:val="00A41BC3"/>
    <w:rsid w:val="00A4658A"/>
    <w:rsid w:val="00A46BDE"/>
    <w:rsid w:val="00A501ED"/>
    <w:rsid w:val="00A5139C"/>
    <w:rsid w:val="00A5144F"/>
    <w:rsid w:val="00A5287C"/>
    <w:rsid w:val="00A534FD"/>
    <w:rsid w:val="00A554C8"/>
    <w:rsid w:val="00A55FB4"/>
    <w:rsid w:val="00A6277C"/>
    <w:rsid w:val="00A65906"/>
    <w:rsid w:val="00A81262"/>
    <w:rsid w:val="00A8200F"/>
    <w:rsid w:val="00A858D0"/>
    <w:rsid w:val="00A90785"/>
    <w:rsid w:val="00AA1828"/>
    <w:rsid w:val="00AB5056"/>
    <w:rsid w:val="00AC0E98"/>
    <w:rsid w:val="00AC5B79"/>
    <w:rsid w:val="00AC77EF"/>
    <w:rsid w:val="00AD0111"/>
    <w:rsid w:val="00AD5342"/>
    <w:rsid w:val="00AE67ED"/>
    <w:rsid w:val="00AF303A"/>
    <w:rsid w:val="00AF42B8"/>
    <w:rsid w:val="00B010C0"/>
    <w:rsid w:val="00B01369"/>
    <w:rsid w:val="00B027C9"/>
    <w:rsid w:val="00B03F64"/>
    <w:rsid w:val="00B06254"/>
    <w:rsid w:val="00B10455"/>
    <w:rsid w:val="00B11C04"/>
    <w:rsid w:val="00B164DF"/>
    <w:rsid w:val="00B16B3E"/>
    <w:rsid w:val="00B20F3A"/>
    <w:rsid w:val="00B22125"/>
    <w:rsid w:val="00B23300"/>
    <w:rsid w:val="00B27027"/>
    <w:rsid w:val="00B27B4F"/>
    <w:rsid w:val="00B3123C"/>
    <w:rsid w:val="00B40ABB"/>
    <w:rsid w:val="00B425C9"/>
    <w:rsid w:val="00B4696A"/>
    <w:rsid w:val="00B476A3"/>
    <w:rsid w:val="00B50B8C"/>
    <w:rsid w:val="00B52C94"/>
    <w:rsid w:val="00B55997"/>
    <w:rsid w:val="00B602F5"/>
    <w:rsid w:val="00B61D0C"/>
    <w:rsid w:val="00B67D14"/>
    <w:rsid w:val="00B70731"/>
    <w:rsid w:val="00B7079F"/>
    <w:rsid w:val="00B80122"/>
    <w:rsid w:val="00B86A1D"/>
    <w:rsid w:val="00B90553"/>
    <w:rsid w:val="00B92C4C"/>
    <w:rsid w:val="00B9442C"/>
    <w:rsid w:val="00B94EBE"/>
    <w:rsid w:val="00B9787B"/>
    <w:rsid w:val="00B97A78"/>
    <w:rsid w:val="00BA23CA"/>
    <w:rsid w:val="00BB2068"/>
    <w:rsid w:val="00BB3AFB"/>
    <w:rsid w:val="00BB7D4D"/>
    <w:rsid w:val="00BC1DBB"/>
    <w:rsid w:val="00BC352B"/>
    <w:rsid w:val="00BC42DE"/>
    <w:rsid w:val="00BC4801"/>
    <w:rsid w:val="00BC491F"/>
    <w:rsid w:val="00BC5A97"/>
    <w:rsid w:val="00BD2844"/>
    <w:rsid w:val="00BE5B35"/>
    <w:rsid w:val="00BE7FEC"/>
    <w:rsid w:val="00BF117A"/>
    <w:rsid w:val="00C02FEE"/>
    <w:rsid w:val="00C23FDE"/>
    <w:rsid w:val="00C242A8"/>
    <w:rsid w:val="00C25C90"/>
    <w:rsid w:val="00C2663F"/>
    <w:rsid w:val="00C33685"/>
    <w:rsid w:val="00C37195"/>
    <w:rsid w:val="00C4203C"/>
    <w:rsid w:val="00C44828"/>
    <w:rsid w:val="00C47805"/>
    <w:rsid w:val="00C51357"/>
    <w:rsid w:val="00C5246D"/>
    <w:rsid w:val="00C61786"/>
    <w:rsid w:val="00C6213F"/>
    <w:rsid w:val="00C62C05"/>
    <w:rsid w:val="00C62E67"/>
    <w:rsid w:val="00C630F4"/>
    <w:rsid w:val="00C64D3F"/>
    <w:rsid w:val="00C66984"/>
    <w:rsid w:val="00C75725"/>
    <w:rsid w:val="00C80FD8"/>
    <w:rsid w:val="00C871D4"/>
    <w:rsid w:val="00C90998"/>
    <w:rsid w:val="00C9219E"/>
    <w:rsid w:val="00C9299B"/>
    <w:rsid w:val="00C93E09"/>
    <w:rsid w:val="00C9531F"/>
    <w:rsid w:val="00CA5FB4"/>
    <w:rsid w:val="00CA7173"/>
    <w:rsid w:val="00CB1898"/>
    <w:rsid w:val="00CB7ED3"/>
    <w:rsid w:val="00CC42BA"/>
    <w:rsid w:val="00CD56FB"/>
    <w:rsid w:val="00CD58FA"/>
    <w:rsid w:val="00CF41FF"/>
    <w:rsid w:val="00CF5FB8"/>
    <w:rsid w:val="00D061EC"/>
    <w:rsid w:val="00D117B3"/>
    <w:rsid w:val="00D12F9A"/>
    <w:rsid w:val="00D17635"/>
    <w:rsid w:val="00D17CBA"/>
    <w:rsid w:val="00D239FA"/>
    <w:rsid w:val="00D42C10"/>
    <w:rsid w:val="00D43101"/>
    <w:rsid w:val="00D456FB"/>
    <w:rsid w:val="00D5288F"/>
    <w:rsid w:val="00D61B2B"/>
    <w:rsid w:val="00D64BC5"/>
    <w:rsid w:val="00D81C19"/>
    <w:rsid w:val="00D81D0A"/>
    <w:rsid w:val="00D82637"/>
    <w:rsid w:val="00D82779"/>
    <w:rsid w:val="00D82F54"/>
    <w:rsid w:val="00D85E80"/>
    <w:rsid w:val="00D866DD"/>
    <w:rsid w:val="00D96A53"/>
    <w:rsid w:val="00DA076B"/>
    <w:rsid w:val="00DA4A1A"/>
    <w:rsid w:val="00DB29D5"/>
    <w:rsid w:val="00DB4DF1"/>
    <w:rsid w:val="00DC0ED4"/>
    <w:rsid w:val="00DC658D"/>
    <w:rsid w:val="00DD1757"/>
    <w:rsid w:val="00DD1AAF"/>
    <w:rsid w:val="00DD1BF2"/>
    <w:rsid w:val="00DD5143"/>
    <w:rsid w:val="00DE4F13"/>
    <w:rsid w:val="00DF0987"/>
    <w:rsid w:val="00DF1E58"/>
    <w:rsid w:val="00DF20BC"/>
    <w:rsid w:val="00E01359"/>
    <w:rsid w:val="00E03093"/>
    <w:rsid w:val="00E131C5"/>
    <w:rsid w:val="00E20570"/>
    <w:rsid w:val="00E22349"/>
    <w:rsid w:val="00E30506"/>
    <w:rsid w:val="00E404E3"/>
    <w:rsid w:val="00E40853"/>
    <w:rsid w:val="00E45325"/>
    <w:rsid w:val="00E4622B"/>
    <w:rsid w:val="00E52784"/>
    <w:rsid w:val="00E53B7E"/>
    <w:rsid w:val="00E541C3"/>
    <w:rsid w:val="00E55E46"/>
    <w:rsid w:val="00E57970"/>
    <w:rsid w:val="00E6586E"/>
    <w:rsid w:val="00E71CEB"/>
    <w:rsid w:val="00E72283"/>
    <w:rsid w:val="00E74CD5"/>
    <w:rsid w:val="00E75519"/>
    <w:rsid w:val="00E77790"/>
    <w:rsid w:val="00E7791A"/>
    <w:rsid w:val="00E80B9D"/>
    <w:rsid w:val="00E83A36"/>
    <w:rsid w:val="00E83D62"/>
    <w:rsid w:val="00E8622A"/>
    <w:rsid w:val="00E8699D"/>
    <w:rsid w:val="00E87E00"/>
    <w:rsid w:val="00E914B0"/>
    <w:rsid w:val="00E919F0"/>
    <w:rsid w:val="00EA2925"/>
    <w:rsid w:val="00EA4465"/>
    <w:rsid w:val="00EB0A18"/>
    <w:rsid w:val="00EB1051"/>
    <w:rsid w:val="00EB2934"/>
    <w:rsid w:val="00EB3E71"/>
    <w:rsid w:val="00EB56F2"/>
    <w:rsid w:val="00EC0D5D"/>
    <w:rsid w:val="00EC20A1"/>
    <w:rsid w:val="00EC3CE6"/>
    <w:rsid w:val="00ED09FF"/>
    <w:rsid w:val="00ED233A"/>
    <w:rsid w:val="00ED424D"/>
    <w:rsid w:val="00ED575A"/>
    <w:rsid w:val="00EE440F"/>
    <w:rsid w:val="00EF2630"/>
    <w:rsid w:val="00EF461E"/>
    <w:rsid w:val="00EF4C6A"/>
    <w:rsid w:val="00F01340"/>
    <w:rsid w:val="00F07791"/>
    <w:rsid w:val="00F13FA5"/>
    <w:rsid w:val="00F14795"/>
    <w:rsid w:val="00F166F4"/>
    <w:rsid w:val="00F16711"/>
    <w:rsid w:val="00F22431"/>
    <w:rsid w:val="00F22F40"/>
    <w:rsid w:val="00F23D65"/>
    <w:rsid w:val="00F27339"/>
    <w:rsid w:val="00F27AA6"/>
    <w:rsid w:val="00F31A76"/>
    <w:rsid w:val="00F32D76"/>
    <w:rsid w:val="00F32E83"/>
    <w:rsid w:val="00F34F0E"/>
    <w:rsid w:val="00F41A87"/>
    <w:rsid w:val="00F41A99"/>
    <w:rsid w:val="00F43AC7"/>
    <w:rsid w:val="00F4663F"/>
    <w:rsid w:val="00F543ED"/>
    <w:rsid w:val="00F54F6A"/>
    <w:rsid w:val="00F57A56"/>
    <w:rsid w:val="00F61B38"/>
    <w:rsid w:val="00F633F0"/>
    <w:rsid w:val="00F64783"/>
    <w:rsid w:val="00F70E1C"/>
    <w:rsid w:val="00F8052B"/>
    <w:rsid w:val="00F84C9A"/>
    <w:rsid w:val="00F85B9A"/>
    <w:rsid w:val="00F9238F"/>
    <w:rsid w:val="00F95509"/>
    <w:rsid w:val="00F9565C"/>
    <w:rsid w:val="00FA09FD"/>
    <w:rsid w:val="00FA0C5F"/>
    <w:rsid w:val="00FA3C29"/>
    <w:rsid w:val="00FB228E"/>
    <w:rsid w:val="00FB2EA5"/>
    <w:rsid w:val="00FC1C6C"/>
    <w:rsid w:val="00FC6CB9"/>
    <w:rsid w:val="00FD4770"/>
    <w:rsid w:val="00FE3659"/>
    <w:rsid w:val="00FE4BD8"/>
    <w:rsid w:val="00FE7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1E831592-FACA-4280-AF53-9901B55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01809097">
      <w:bodyDiv w:val="1"/>
      <w:marLeft w:val="0"/>
      <w:marRight w:val="0"/>
      <w:marTop w:val="0"/>
      <w:marBottom w:val="0"/>
      <w:divBdr>
        <w:top w:val="none" w:sz="0" w:space="0" w:color="auto"/>
        <w:left w:val="none" w:sz="0" w:space="0" w:color="auto"/>
        <w:bottom w:val="none" w:sz="0" w:space="0" w:color="auto"/>
        <w:right w:val="none" w:sz="0" w:space="0" w:color="auto"/>
      </w:divBdr>
    </w:div>
    <w:div w:id="138767300">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14281802">
      <w:bodyDiv w:val="1"/>
      <w:marLeft w:val="0"/>
      <w:marRight w:val="0"/>
      <w:marTop w:val="0"/>
      <w:marBottom w:val="0"/>
      <w:divBdr>
        <w:top w:val="none" w:sz="0" w:space="0" w:color="auto"/>
        <w:left w:val="none" w:sz="0" w:space="0" w:color="auto"/>
        <w:bottom w:val="none" w:sz="0" w:space="0" w:color="auto"/>
        <w:right w:val="none" w:sz="0" w:space="0" w:color="auto"/>
      </w:divBdr>
    </w:div>
    <w:div w:id="463234516">
      <w:bodyDiv w:val="1"/>
      <w:marLeft w:val="0"/>
      <w:marRight w:val="0"/>
      <w:marTop w:val="0"/>
      <w:marBottom w:val="0"/>
      <w:divBdr>
        <w:top w:val="none" w:sz="0" w:space="0" w:color="auto"/>
        <w:left w:val="none" w:sz="0" w:space="0" w:color="auto"/>
        <w:bottom w:val="none" w:sz="0" w:space="0" w:color="auto"/>
        <w:right w:val="none" w:sz="0" w:space="0" w:color="auto"/>
      </w:divBdr>
    </w:div>
    <w:div w:id="48413257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3643393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58445716">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942908205">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 w:id="20938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urezza@confindustria.umbria.it" TargetMode="External"/><Relationship Id="rId3" Type="http://schemas.openxmlformats.org/officeDocument/2006/relationships/settings" Target="settings.xml"/><Relationship Id="rId7" Type="http://schemas.openxmlformats.org/officeDocument/2006/relationships/hyperlink" Target="http://www.in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27</TotalTime>
  <Pages>1</Pages>
  <Words>355</Words>
  <Characters>2026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hp</cp:lastModifiedBy>
  <cp:revision>9</cp:revision>
  <cp:lastPrinted>2019-07-24T10:59:00Z</cp:lastPrinted>
  <dcterms:created xsi:type="dcterms:W3CDTF">2020-05-13T15:35:00Z</dcterms:created>
  <dcterms:modified xsi:type="dcterms:W3CDTF">2020-05-19T14:18:00Z</dcterms:modified>
</cp:coreProperties>
</file>