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290" w:rsidRDefault="000F7290">
      <w:pPr>
        <w:pStyle w:val="Standard"/>
        <w:jc w:val="center"/>
      </w:pPr>
    </w:p>
    <w:p w:rsidR="000F7290" w:rsidRDefault="00FE1DA1">
      <w:pPr>
        <w:pStyle w:val="Standard"/>
        <w:jc w:val="center"/>
      </w:pPr>
      <w:r>
        <w:rPr>
          <w:noProof/>
          <w:lang w:eastAsia="it-IT"/>
        </w:rPr>
        <w:drawing>
          <wp:anchor distT="0" distB="0" distL="114300" distR="114300" simplePos="0" relativeHeight="251659264" behindDoc="0" locked="0" layoutInCell="1" allowOverlap="1">
            <wp:simplePos x="0" y="0"/>
            <wp:positionH relativeFrom="column">
              <wp:posOffset>546735</wp:posOffset>
            </wp:positionH>
            <wp:positionV relativeFrom="paragraph">
              <wp:posOffset>390525</wp:posOffset>
            </wp:positionV>
            <wp:extent cx="5207000" cy="614045"/>
            <wp:effectExtent l="0" t="0" r="0" b="0"/>
            <wp:wrapTopAndBottom/>
            <wp:docPr id="2"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207000" cy="614045"/>
                    </a:xfrm>
                    <a:prstGeom prst="rect">
                      <a:avLst/>
                    </a:prstGeom>
                  </pic:spPr>
                </pic:pic>
              </a:graphicData>
            </a:graphic>
            <wp14:sizeRelH relativeFrom="margin">
              <wp14:pctWidth>0</wp14:pctWidth>
            </wp14:sizeRelH>
            <wp14:sizeRelV relativeFrom="margin">
              <wp14:pctHeight>0</wp14:pctHeight>
            </wp14:sizeRelV>
          </wp:anchor>
        </w:drawing>
      </w:r>
    </w:p>
    <w:p w:rsidR="000F7290" w:rsidRDefault="000F7290">
      <w:pPr>
        <w:pStyle w:val="Standard"/>
        <w:jc w:val="center"/>
      </w:pPr>
    </w:p>
    <w:p w:rsidR="000F7290" w:rsidRDefault="00F66A1C" w:rsidP="008C29F1">
      <w:pPr>
        <w:pStyle w:val="Standard"/>
      </w:pPr>
      <w:r>
        <w:rPr>
          <w:color w:val="000000"/>
        </w:rPr>
        <w:t>CONVENZIONE CON PERUGIA CHECK UP</w:t>
      </w:r>
      <w:r w:rsidR="008C29F1">
        <w:t xml:space="preserve"> – PREVENZIONE E SICUREZZA TEST COVID-19</w:t>
      </w:r>
    </w:p>
    <w:p w:rsidR="000F7290" w:rsidRDefault="000F7290">
      <w:pPr>
        <w:pStyle w:val="Titolo1"/>
        <w:spacing w:before="67"/>
        <w:ind w:left="0" w:right="1969"/>
        <w:rPr>
          <w:rFonts w:ascii="Calibri" w:hAnsi="Calibri" w:cs="Calibri"/>
          <w:b w:val="0"/>
          <w:sz w:val="22"/>
          <w:szCs w:val="22"/>
          <w:lang w:val="it-IT"/>
        </w:rPr>
      </w:pPr>
    </w:p>
    <w:p w:rsidR="000F7290" w:rsidRDefault="00F66A1C">
      <w:pPr>
        <w:pStyle w:val="NormaleWeb"/>
        <w:shd w:val="clear" w:color="auto" w:fill="FFFFFF"/>
        <w:spacing w:before="0" w:after="150" w:line="360" w:lineRule="auto"/>
      </w:pPr>
      <w:r>
        <w:rPr>
          <w:rFonts w:ascii="Calibri" w:hAnsi="Calibri"/>
          <w:sz w:val="22"/>
          <w:szCs w:val="22"/>
        </w:rPr>
        <w:t xml:space="preserve">Il Centro Medico Perugia Check Up è una Struttura Sanitaria autorizzata, che opera dal 1988 nel campo della prevenzione e cura del paziente in modo polivalente grazie all’interdisciplinarietà degli Specialisti e alla presenza al suo interno del laboratorio di Analisi Chimico Cliniche </w:t>
      </w:r>
      <w:proofErr w:type="spellStart"/>
      <w:r>
        <w:rPr>
          <w:rFonts w:ascii="Calibri" w:hAnsi="Calibri"/>
          <w:sz w:val="22"/>
          <w:szCs w:val="22"/>
        </w:rPr>
        <w:t>SwissLab</w:t>
      </w:r>
      <w:proofErr w:type="spellEnd"/>
      <w:r>
        <w:rPr>
          <w:rFonts w:ascii="Calibri" w:hAnsi="Calibri"/>
          <w:sz w:val="22"/>
          <w:szCs w:val="22"/>
        </w:rPr>
        <w:t>.</w:t>
      </w:r>
    </w:p>
    <w:p w:rsidR="000F7290" w:rsidRDefault="00F66A1C">
      <w:pPr>
        <w:pStyle w:val="NormaleWeb"/>
        <w:shd w:val="clear" w:color="auto" w:fill="FFFFFF"/>
        <w:spacing w:before="0" w:after="150" w:line="360" w:lineRule="auto"/>
      </w:pPr>
      <w:r>
        <w:rPr>
          <w:rFonts w:ascii="Calibri" w:hAnsi="Calibri"/>
          <w:sz w:val="22"/>
          <w:szCs w:val="22"/>
        </w:rPr>
        <w:t>Negli ultimi anni la Struttura ha posto particolare attenzione alla</w:t>
      </w:r>
      <w:r>
        <w:rPr>
          <w:rStyle w:val="apple-converted-space"/>
          <w:rFonts w:ascii="Calibri" w:hAnsi="Calibri"/>
          <w:sz w:val="22"/>
          <w:szCs w:val="22"/>
        </w:rPr>
        <w:t> </w:t>
      </w:r>
      <w:r>
        <w:rPr>
          <w:rFonts w:ascii="Calibri" w:hAnsi="Calibri"/>
          <w:sz w:val="22"/>
          <w:szCs w:val="22"/>
        </w:rPr>
        <w:t>sezione Medicina del Lavoro con il progetto “Salute e Sicurezza”</w:t>
      </w:r>
      <w:r w:rsidR="00FE1DA1">
        <w:rPr>
          <w:rFonts w:ascii="Calibri" w:hAnsi="Calibri"/>
          <w:sz w:val="22"/>
          <w:szCs w:val="22"/>
        </w:rPr>
        <w:t xml:space="preserve"> </w:t>
      </w:r>
      <w:r>
        <w:rPr>
          <w:rFonts w:ascii="Calibri" w:hAnsi="Calibri"/>
          <w:sz w:val="22"/>
          <w:szCs w:val="22"/>
        </w:rPr>
        <w:t>ed ha quindi formato un team di</w:t>
      </w:r>
      <w:r>
        <w:rPr>
          <w:rStyle w:val="apple-converted-space"/>
          <w:rFonts w:ascii="Calibri" w:hAnsi="Calibri"/>
          <w:sz w:val="22"/>
          <w:szCs w:val="22"/>
        </w:rPr>
        <w:t> </w:t>
      </w:r>
      <w:r>
        <w:rPr>
          <w:rFonts w:ascii="Calibri" w:hAnsi="Calibri"/>
          <w:sz w:val="22"/>
          <w:szCs w:val="22"/>
        </w:rPr>
        <w:t>Medici Coordinatori, Medici Competenti, Medici Specialisti, Infermieri Professionali, Tecnici Sanitari e di Laboratorio</w:t>
      </w:r>
      <w:r>
        <w:rPr>
          <w:rStyle w:val="apple-converted-space"/>
          <w:rFonts w:ascii="Calibri" w:hAnsi="Calibri"/>
          <w:sz w:val="22"/>
          <w:szCs w:val="22"/>
        </w:rPr>
        <w:t> </w:t>
      </w:r>
      <w:r>
        <w:rPr>
          <w:rFonts w:ascii="Calibri" w:hAnsi="Calibri"/>
          <w:sz w:val="22"/>
          <w:szCs w:val="22"/>
        </w:rPr>
        <w:t>a disposizione per una sempre più efficiente esecuzione della sorveglianza sanitaria aziendale.</w:t>
      </w:r>
    </w:p>
    <w:p w:rsidR="000F7290" w:rsidRDefault="00F66A1C">
      <w:pPr>
        <w:pStyle w:val="NormaleWeb"/>
        <w:shd w:val="clear" w:color="auto" w:fill="FFFFFF"/>
        <w:spacing w:before="0" w:after="150" w:line="360" w:lineRule="auto"/>
      </w:pPr>
      <w:r>
        <w:rPr>
          <w:rFonts w:ascii="Calibri" w:hAnsi="Calibri"/>
          <w:sz w:val="22"/>
          <w:szCs w:val="22"/>
        </w:rPr>
        <w:t>Tutte le varie attività sono organizzate tramite un Gestionale di Sorveglianza Sanitaria, che garantisce alle Aziende gli adempimenti sanitari necessari per il rilascio del giudizio di idoneità alla mansione.</w:t>
      </w:r>
      <w:r>
        <w:rPr>
          <w:rFonts w:ascii="Calibri" w:hAnsi="Calibri"/>
          <w:sz w:val="22"/>
          <w:szCs w:val="22"/>
        </w:rPr>
        <w:br/>
        <w:t>L’utilizzo di un sistema informatico specifico permette di avere sotto controllo in modo costante le scadenze, i report, i cambi mansione etc.. Il Software permette inoltre di elaborare le limitazioni/prescrizioni in modo da codificarle ed intervenire successivamente sull’esposizione al rischio che emerge con maggiore frequenza. L’intervento mirato sull’esposizione al rischio consiste nello sviluppare dei progetti anche formativi per ogni azienda, avvalendosi di professionisti che provengono anche da altre realtà.</w:t>
      </w:r>
    </w:p>
    <w:p w:rsidR="000F7290" w:rsidRDefault="00F66A1C">
      <w:pPr>
        <w:pStyle w:val="Standard"/>
        <w:spacing w:after="240"/>
        <w:jc w:val="both"/>
      </w:pPr>
      <w:r>
        <w:rPr>
          <w:b/>
          <w:bCs/>
        </w:rPr>
        <w:t>OFFERTA IN CONVENZIONE:</w:t>
      </w:r>
    </w:p>
    <w:p w:rsidR="008C29F1" w:rsidRDefault="008C29F1" w:rsidP="008C29F1">
      <w:pPr>
        <w:pStyle w:val="Standard"/>
        <w:spacing w:line="360" w:lineRule="auto"/>
      </w:pPr>
      <w:r w:rsidRPr="002A74C7">
        <w:rPr>
          <w:u w:val="single"/>
        </w:rPr>
        <w:t>Tampone Naso-Faringeo</w:t>
      </w:r>
      <w:r>
        <w:t xml:space="preserve"> p</w:t>
      </w:r>
      <w:r>
        <w:t>er diagnosticare l'infezione attiva si effettua</w:t>
      </w:r>
      <w:r>
        <w:t xml:space="preserve"> </w:t>
      </w:r>
      <w:r>
        <w:t>il tampone naso-</w:t>
      </w:r>
      <w:r>
        <w:t xml:space="preserve">faringeo, Sars-CoV-19 Real time </w:t>
      </w:r>
      <w:r>
        <w:t>RT-PCR. Risulta</w:t>
      </w:r>
      <w:r>
        <w:t xml:space="preserve">to in 24-48 ore. In questo caso </w:t>
      </w:r>
      <w:r>
        <w:t>l’esame</w:t>
      </w:r>
      <w:r>
        <w:t xml:space="preserve"> dovrà essere effettuato presso </w:t>
      </w:r>
      <w:r>
        <w:t>il nostro punto prelievi.</w:t>
      </w:r>
    </w:p>
    <w:p w:rsidR="008C29F1" w:rsidRDefault="008C29F1" w:rsidP="008C29F1">
      <w:pPr>
        <w:pStyle w:val="Standard"/>
        <w:spacing w:line="360" w:lineRule="auto"/>
      </w:pPr>
      <w:r w:rsidRPr="002A74C7">
        <w:rPr>
          <w:u w:val="single"/>
        </w:rPr>
        <w:t>Tampone rapido Naso –Faringeo:</w:t>
      </w:r>
      <w:r>
        <w:t xml:space="preserve"> </w:t>
      </w:r>
      <w:r>
        <w:t xml:space="preserve">Nuovo test tampone </w:t>
      </w:r>
      <w:r>
        <w:t xml:space="preserve">rapido nasofaringeo Sars-Cov-2. </w:t>
      </w:r>
      <w:r>
        <w:t>Si ricercano gli a</w:t>
      </w:r>
      <w:r>
        <w:t xml:space="preserve">ntigeni specifici del virus con </w:t>
      </w:r>
      <w:r>
        <w:t>metodo qualitativo</w:t>
      </w:r>
      <w:r>
        <w:t xml:space="preserve"> rapido in </w:t>
      </w:r>
      <w:proofErr w:type="spellStart"/>
      <w:r>
        <w:t>immunocromatografia</w:t>
      </w:r>
      <w:proofErr w:type="spellEnd"/>
      <w:r>
        <w:t xml:space="preserve">, </w:t>
      </w:r>
      <w:r>
        <w:t>distribuzione Roche</w:t>
      </w:r>
      <w:r>
        <w:t xml:space="preserve"> diagnostica. Ricerca specifico </w:t>
      </w:r>
      <w:r>
        <w:t>del Virus (Antigene). Risultato immediato.</w:t>
      </w:r>
    </w:p>
    <w:p w:rsidR="008C29F1" w:rsidRDefault="008C29F1" w:rsidP="008C29F1">
      <w:pPr>
        <w:pStyle w:val="Standard"/>
        <w:spacing w:line="360" w:lineRule="auto"/>
      </w:pPr>
      <w:r w:rsidRPr="002A74C7">
        <w:rPr>
          <w:u w:val="single"/>
        </w:rPr>
        <w:t>Test sierologico qualitativo:</w:t>
      </w:r>
      <w:r>
        <w:t xml:space="preserve"> s</w:t>
      </w:r>
      <w:r>
        <w:t xml:space="preserve">i esegue </w:t>
      </w:r>
      <w:r>
        <w:t xml:space="preserve">il test sierologico qualitativo </w:t>
      </w:r>
      <w:r>
        <w:t>(posi</w:t>
      </w:r>
      <w:r>
        <w:t xml:space="preserve">tivo o negativo, </w:t>
      </w:r>
      <w:proofErr w:type="spellStart"/>
      <w:r>
        <w:t>IgM-IgG</w:t>
      </w:r>
      <w:proofErr w:type="spellEnd"/>
      <w:r>
        <w:t xml:space="preserve"> metodo </w:t>
      </w:r>
      <w:proofErr w:type="spellStart"/>
      <w:r>
        <w:t>immuno</w:t>
      </w:r>
      <w:proofErr w:type="spellEnd"/>
      <w:r>
        <w:t xml:space="preserve"> </w:t>
      </w:r>
      <w:r>
        <w:t>cromat</w:t>
      </w:r>
      <w:r>
        <w:t xml:space="preserve">ografico rapido), distribuzione </w:t>
      </w:r>
      <w:r>
        <w:t xml:space="preserve">Roche diagnostica. </w:t>
      </w:r>
      <w:r>
        <w:t xml:space="preserve">Effettuazione di un test rapido </w:t>
      </w:r>
      <w:r>
        <w:t>tramite prelievo o p</w:t>
      </w:r>
      <w:r>
        <w:t xml:space="preserve">ungi dito (una goccia di sangue </w:t>
      </w:r>
      <w:r>
        <w:t>esaminata con kit port</w:t>
      </w:r>
      <w:r>
        <w:t xml:space="preserve">atile) presso la Vostra azienda </w:t>
      </w:r>
      <w:r>
        <w:t>o nella nostra sede. Risultato immediato.</w:t>
      </w:r>
    </w:p>
    <w:p w:rsidR="008C29F1" w:rsidRDefault="008C29F1" w:rsidP="008C29F1">
      <w:pPr>
        <w:pStyle w:val="Standard"/>
        <w:spacing w:line="360" w:lineRule="auto"/>
      </w:pPr>
      <w:r w:rsidRPr="002A74C7">
        <w:rPr>
          <w:u w:val="single"/>
        </w:rPr>
        <w:t>Test sierologico quantitativo:</w:t>
      </w:r>
      <w:r>
        <w:t xml:space="preserve"> </w:t>
      </w:r>
      <w:r>
        <w:t>Si effettua il test si</w:t>
      </w:r>
      <w:r>
        <w:t>erologico quantitativo (</w:t>
      </w:r>
      <w:proofErr w:type="spellStart"/>
      <w:r>
        <w:t>IgM-IgG</w:t>
      </w:r>
      <w:proofErr w:type="spellEnd"/>
      <w:r>
        <w:t xml:space="preserve"> </w:t>
      </w:r>
      <w:r>
        <w:t>metodo in chem</w:t>
      </w:r>
      <w:r>
        <w:t xml:space="preserve">iluminescenza) tramite prelievo </w:t>
      </w:r>
      <w:r>
        <w:t>venoso, che potrà es</w:t>
      </w:r>
      <w:r w:rsidR="002A74C7">
        <w:t xml:space="preserve">sere effettuato anche presso la </w:t>
      </w:r>
      <w:bookmarkStart w:id="0" w:name="_GoBack"/>
      <w:bookmarkEnd w:id="0"/>
      <w:r>
        <w:t>Vostra struttura. I risu</w:t>
      </w:r>
      <w:r>
        <w:t xml:space="preserve">ltati potranno essere scaricati </w:t>
      </w:r>
      <w:r>
        <w:t>dal nostro portale dopo 5 ore dal prelievo.</w:t>
      </w:r>
    </w:p>
    <w:p w:rsidR="008C29F1" w:rsidRDefault="008C29F1" w:rsidP="00C31AA4">
      <w:pPr>
        <w:pStyle w:val="Standard"/>
        <w:spacing w:line="360" w:lineRule="auto"/>
      </w:pPr>
    </w:p>
    <w:p w:rsidR="008C29F1" w:rsidRDefault="008C29F1" w:rsidP="00C31AA4">
      <w:pPr>
        <w:pStyle w:val="Standard"/>
        <w:spacing w:line="360" w:lineRule="auto"/>
        <w:rPr>
          <w:u w:val="single"/>
        </w:rPr>
      </w:pPr>
    </w:p>
    <w:p w:rsidR="000F7290" w:rsidRDefault="00C31AA4" w:rsidP="00C31AA4">
      <w:pPr>
        <w:pStyle w:val="Standard"/>
        <w:spacing w:line="360" w:lineRule="auto"/>
      </w:pPr>
      <w:r w:rsidRPr="00C31AA4">
        <w:rPr>
          <w:u w:val="single"/>
        </w:rPr>
        <w:t>Prezzo riservato agli Associati Confindustria Umbria</w:t>
      </w:r>
      <w:r>
        <w:t xml:space="preserve">: </w:t>
      </w:r>
      <w:r w:rsidRPr="00C31AA4">
        <w:rPr>
          <w:b/>
          <w:bCs/>
        </w:rPr>
        <w:t>sconto del 10%</w:t>
      </w:r>
      <w:r>
        <w:t xml:space="preserve"> su tutte le prestazioni fornite dalle strutture.</w:t>
      </w:r>
    </w:p>
    <w:p w:rsidR="008C29F1" w:rsidRDefault="008C29F1" w:rsidP="008C29F1">
      <w:pPr>
        <w:pStyle w:val="Standard"/>
        <w:spacing w:line="360" w:lineRule="auto"/>
      </w:pPr>
      <w:r>
        <w:t>L’azienda è inoltre in convenzione in forma diretta con i maggiori fondi sanitari</w:t>
      </w:r>
    </w:p>
    <w:p w:rsidR="000F7290" w:rsidRDefault="00FE1DA1">
      <w:pPr>
        <w:pStyle w:val="Standard"/>
        <w:spacing w:line="360" w:lineRule="auto"/>
      </w:pPr>
      <w:r>
        <w:t>P</w:t>
      </w:r>
      <w:r w:rsidR="00F66A1C">
        <w:t xml:space="preserve">er informazioni rivolgersi alla segreteria 075 5170245 </w:t>
      </w:r>
      <w:hyperlink r:id="rId9" w:history="1">
        <w:r w:rsidR="00F66A1C">
          <w:t>info@perugiacheckup.it</w:t>
        </w:r>
      </w:hyperlink>
    </w:p>
    <w:p w:rsidR="000F7290" w:rsidRDefault="00FE1DA1">
      <w:pPr>
        <w:pStyle w:val="Standard"/>
        <w:spacing w:line="360" w:lineRule="auto"/>
      </w:pPr>
      <w:r>
        <w:t>P</w:t>
      </w:r>
      <w:r w:rsidR="00F66A1C">
        <w:t xml:space="preserve">er preventivi rivolgersi a Ilaria Anzideo </w:t>
      </w:r>
      <w:hyperlink r:id="rId10" w:history="1">
        <w:r w:rsidR="00F66A1C">
          <w:t>info.mdl@perugiacheckup.it</w:t>
        </w:r>
      </w:hyperlink>
      <w:r w:rsidR="002A74C7">
        <w:t xml:space="preserve">  / </w:t>
      </w:r>
      <w:r w:rsidR="00F66A1C">
        <w:t xml:space="preserve"> rita.berchtold@perugiacheckup.it</w:t>
      </w:r>
    </w:p>
    <w:sectPr w:rsidR="000F7290">
      <w:pgSz w:w="11906" w:h="16838"/>
      <w:pgMar w:top="284" w:right="1134" w:bottom="42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2AB" w:rsidRDefault="002C32AB">
      <w:pPr>
        <w:spacing w:after="0" w:line="240" w:lineRule="auto"/>
      </w:pPr>
      <w:r>
        <w:separator/>
      </w:r>
    </w:p>
  </w:endnote>
  <w:endnote w:type="continuationSeparator" w:id="0">
    <w:p w:rsidR="002C32AB" w:rsidRDefault="002C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2AB" w:rsidRDefault="002C32AB">
      <w:pPr>
        <w:spacing w:after="0" w:line="240" w:lineRule="auto"/>
      </w:pPr>
      <w:r>
        <w:rPr>
          <w:color w:val="000000"/>
        </w:rPr>
        <w:separator/>
      </w:r>
    </w:p>
  </w:footnote>
  <w:footnote w:type="continuationSeparator" w:id="0">
    <w:p w:rsidR="002C32AB" w:rsidRDefault="002C32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6E6"/>
    <w:multiLevelType w:val="multilevel"/>
    <w:tmpl w:val="6E08A352"/>
    <w:styleLink w:val="WWNum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nsid w:val="5DEF6C07"/>
    <w:multiLevelType w:val="multilevel"/>
    <w:tmpl w:val="25826862"/>
    <w:styleLink w:val="WWNum1"/>
    <w:lvl w:ilvl="0">
      <w:start w:val="1"/>
      <w:numFmt w:val="decimal"/>
      <w:lvlText w:val="%1."/>
      <w:lvlJc w:val="left"/>
      <w:pPr>
        <w:ind w:left="1155" w:hanging="360"/>
      </w:pPr>
    </w:lvl>
    <w:lvl w:ilvl="1">
      <w:start w:val="1"/>
      <w:numFmt w:val="upperRoman"/>
      <w:lvlText w:val="%2."/>
      <w:lvlJc w:val="left"/>
      <w:pPr>
        <w:ind w:left="2235" w:hanging="720"/>
      </w:pPr>
    </w:lvl>
    <w:lvl w:ilvl="2">
      <w:start w:val="1"/>
      <w:numFmt w:val="lowerRoman"/>
      <w:lvlText w:val="%1.%2.%3."/>
      <w:lvlJc w:val="right"/>
      <w:pPr>
        <w:ind w:left="2595" w:hanging="180"/>
      </w:pPr>
    </w:lvl>
    <w:lvl w:ilvl="3">
      <w:start w:val="1"/>
      <w:numFmt w:val="decimal"/>
      <w:lvlText w:val="%1.%2.%3.%4."/>
      <w:lvlJc w:val="left"/>
      <w:pPr>
        <w:ind w:left="3315" w:hanging="360"/>
      </w:pPr>
    </w:lvl>
    <w:lvl w:ilvl="4">
      <w:start w:val="1"/>
      <w:numFmt w:val="lowerLetter"/>
      <w:lvlText w:val="%1.%2.%3.%4.%5."/>
      <w:lvlJc w:val="left"/>
      <w:pPr>
        <w:ind w:left="4035" w:hanging="360"/>
      </w:pPr>
    </w:lvl>
    <w:lvl w:ilvl="5">
      <w:start w:val="1"/>
      <w:numFmt w:val="lowerRoman"/>
      <w:lvlText w:val="%1.%2.%3.%4.%5.%6."/>
      <w:lvlJc w:val="right"/>
      <w:pPr>
        <w:ind w:left="4755" w:hanging="180"/>
      </w:pPr>
    </w:lvl>
    <w:lvl w:ilvl="6">
      <w:start w:val="1"/>
      <w:numFmt w:val="decimal"/>
      <w:lvlText w:val="%1.%2.%3.%4.%5.%6.%7."/>
      <w:lvlJc w:val="left"/>
      <w:pPr>
        <w:ind w:left="5475" w:hanging="360"/>
      </w:pPr>
    </w:lvl>
    <w:lvl w:ilvl="7">
      <w:start w:val="1"/>
      <w:numFmt w:val="lowerLetter"/>
      <w:lvlText w:val="%1.%2.%3.%4.%5.%6.%7.%8."/>
      <w:lvlJc w:val="left"/>
      <w:pPr>
        <w:ind w:left="6195" w:hanging="360"/>
      </w:pPr>
    </w:lvl>
    <w:lvl w:ilvl="8">
      <w:start w:val="1"/>
      <w:numFmt w:val="lowerRoman"/>
      <w:lvlText w:val="%1.%2.%3.%4.%5.%6.%7.%8.%9."/>
      <w:lvlJc w:val="right"/>
      <w:pPr>
        <w:ind w:left="6915" w:hanging="180"/>
      </w:pPr>
    </w:lvl>
  </w:abstractNum>
  <w:abstractNum w:abstractNumId="2">
    <w:nsid w:val="68E56625"/>
    <w:multiLevelType w:val="multilevel"/>
    <w:tmpl w:val="BEEC0098"/>
    <w:styleLink w:val="WWNum2"/>
    <w:lvl w:ilvl="0">
      <w:start w:val="1"/>
      <w:numFmt w:val="decimal"/>
      <w:lvlText w:val="%1."/>
      <w:lvlJc w:val="left"/>
      <w:pPr>
        <w:ind w:left="1155" w:hanging="360"/>
      </w:pPr>
    </w:lvl>
    <w:lvl w:ilvl="1">
      <w:start w:val="1"/>
      <w:numFmt w:val="upperRoman"/>
      <w:lvlText w:val="%2."/>
      <w:lvlJc w:val="left"/>
      <w:pPr>
        <w:ind w:left="2235" w:hanging="720"/>
      </w:pPr>
    </w:lvl>
    <w:lvl w:ilvl="2">
      <w:start w:val="1"/>
      <w:numFmt w:val="lowerRoman"/>
      <w:lvlText w:val="%1.%2.%3."/>
      <w:lvlJc w:val="right"/>
      <w:pPr>
        <w:ind w:left="2595" w:hanging="180"/>
      </w:pPr>
    </w:lvl>
    <w:lvl w:ilvl="3">
      <w:start w:val="1"/>
      <w:numFmt w:val="decimal"/>
      <w:lvlText w:val="%1.%2.%3.%4."/>
      <w:lvlJc w:val="left"/>
      <w:pPr>
        <w:ind w:left="3315" w:hanging="360"/>
      </w:pPr>
    </w:lvl>
    <w:lvl w:ilvl="4">
      <w:start w:val="1"/>
      <w:numFmt w:val="lowerLetter"/>
      <w:lvlText w:val="%1.%2.%3.%4.%5."/>
      <w:lvlJc w:val="left"/>
      <w:pPr>
        <w:ind w:left="4035" w:hanging="360"/>
      </w:pPr>
    </w:lvl>
    <w:lvl w:ilvl="5">
      <w:start w:val="1"/>
      <w:numFmt w:val="lowerRoman"/>
      <w:lvlText w:val="%1.%2.%3.%4.%5.%6."/>
      <w:lvlJc w:val="right"/>
      <w:pPr>
        <w:ind w:left="4755" w:hanging="180"/>
      </w:pPr>
    </w:lvl>
    <w:lvl w:ilvl="6">
      <w:start w:val="1"/>
      <w:numFmt w:val="decimal"/>
      <w:lvlText w:val="%1.%2.%3.%4.%5.%6.%7."/>
      <w:lvlJc w:val="left"/>
      <w:pPr>
        <w:ind w:left="5475" w:hanging="360"/>
      </w:pPr>
    </w:lvl>
    <w:lvl w:ilvl="7">
      <w:start w:val="1"/>
      <w:numFmt w:val="lowerLetter"/>
      <w:lvlText w:val="%1.%2.%3.%4.%5.%6.%7.%8."/>
      <w:lvlJc w:val="left"/>
      <w:pPr>
        <w:ind w:left="6195" w:hanging="360"/>
      </w:pPr>
    </w:lvl>
    <w:lvl w:ilvl="8">
      <w:start w:val="1"/>
      <w:numFmt w:val="lowerRoman"/>
      <w:lvlText w:val="%1.%2.%3.%4.%5.%6.%7.%8.%9."/>
      <w:lvlJc w:val="right"/>
      <w:pPr>
        <w:ind w:left="691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90"/>
    <w:rsid w:val="000F7290"/>
    <w:rsid w:val="002A74C7"/>
    <w:rsid w:val="002C32AB"/>
    <w:rsid w:val="004C7946"/>
    <w:rsid w:val="008C29F1"/>
    <w:rsid w:val="00C31AA4"/>
    <w:rsid w:val="00F66A1C"/>
    <w:rsid w:val="00FE1D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it-IT"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Standard"/>
    <w:next w:val="Textbody"/>
    <w:uiPriority w:val="9"/>
    <w:qFormat/>
    <w:pPr>
      <w:widowControl w:val="0"/>
      <w:spacing w:after="0" w:line="240" w:lineRule="auto"/>
      <w:ind w:left="2154"/>
      <w:outlineLvl w:val="0"/>
    </w:pPr>
    <w:rPr>
      <w:rFonts w:ascii="Arial" w:eastAsia="Arial" w:hAnsi="Arial" w:cs="Arial"/>
      <w:b/>
      <w:bCs/>
      <w:sz w:val="47"/>
      <w:szCs w:val="47"/>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widowControl w:val="0"/>
      <w:spacing w:after="0" w:line="240" w:lineRule="auto"/>
    </w:pPr>
    <w:rPr>
      <w:rFonts w:ascii="Times New Roman" w:eastAsia="Times New Roman" w:hAnsi="Times New Roman" w:cs="Times New Roman"/>
      <w:lang w:val="en-US"/>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eWeb">
    <w:name w:val="Normal (Web)"/>
    <w:basedOn w:val="Standard"/>
    <w:pPr>
      <w:spacing w:before="100" w:after="100" w:line="240" w:lineRule="auto"/>
    </w:pPr>
    <w:rPr>
      <w:rFonts w:ascii="Times New Roman" w:eastAsia="Times New Roman" w:hAnsi="Times New Roman" w:cs="Times New Roman"/>
      <w:sz w:val="24"/>
      <w:szCs w:val="24"/>
      <w:lang w:eastAsia="it-IT"/>
    </w:rPr>
  </w:style>
  <w:style w:type="paragraph" w:customStyle="1" w:styleId="xmsonormal">
    <w:name w:val="x_msonormal"/>
    <w:basedOn w:val="Standard"/>
    <w:pPr>
      <w:spacing w:before="100" w:after="100" w:line="240" w:lineRule="auto"/>
    </w:pPr>
    <w:rPr>
      <w:rFonts w:ascii="Times New Roman" w:eastAsia="Times New Roman" w:hAnsi="Times New Roman" w:cs="Times New Roman"/>
      <w:sz w:val="24"/>
      <w:szCs w:val="24"/>
      <w:lang w:eastAsia="it-IT"/>
    </w:rPr>
  </w:style>
  <w:style w:type="paragraph" w:styleId="Paragrafoelenco">
    <w:name w:val="List Paragraph"/>
    <w:basedOn w:val="Standard"/>
    <w:pPr>
      <w:ind w:left="720"/>
    </w:pPr>
  </w:style>
  <w:style w:type="character" w:customStyle="1" w:styleId="Internetlink">
    <w:name w:val="Internet link"/>
    <w:basedOn w:val="Carpredefinitoparagrafo"/>
    <w:rPr>
      <w:color w:val="0000FF"/>
      <w:u w:val="single"/>
    </w:rPr>
  </w:style>
  <w:style w:type="character" w:customStyle="1" w:styleId="UnresolvedMention">
    <w:name w:val="Unresolved Mention"/>
    <w:basedOn w:val="Carpredefinitoparagrafo"/>
    <w:rPr>
      <w:color w:val="605E5C"/>
    </w:rPr>
  </w:style>
  <w:style w:type="character" w:styleId="Enfasicorsivo">
    <w:name w:val="Emphasis"/>
    <w:basedOn w:val="Carpredefinitoparagrafo"/>
    <w:rPr>
      <w:i/>
      <w:iCs/>
    </w:rPr>
  </w:style>
  <w:style w:type="character" w:customStyle="1" w:styleId="Titolo1Carattere">
    <w:name w:val="Titolo 1 Carattere"/>
    <w:basedOn w:val="Carpredefinitoparagrafo"/>
    <w:rPr>
      <w:rFonts w:ascii="Arial" w:eastAsia="Arial" w:hAnsi="Arial" w:cs="Arial"/>
      <w:b/>
      <w:bCs/>
      <w:sz w:val="47"/>
      <w:szCs w:val="47"/>
      <w:lang w:val="en-US"/>
    </w:rPr>
  </w:style>
  <w:style w:type="character" w:customStyle="1" w:styleId="CorpotestoCarattere">
    <w:name w:val="Corpo testo Carattere"/>
    <w:basedOn w:val="Carpredefinitoparagrafo"/>
    <w:rPr>
      <w:rFonts w:ascii="Times New Roman" w:eastAsia="Times New Roman" w:hAnsi="Times New Roman" w:cs="Times New Roman"/>
      <w:lang w:val="en-US"/>
    </w:rPr>
  </w:style>
  <w:style w:type="character" w:customStyle="1" w:styleId="StrongEmphasis">
    <w:name w:val="Strong Emphasis"/>
    <w:basedOn w:val="Carpredefinitoparagrafo"/>
    <w:rPr>
      <w:rFonts w:ascii="Times New Roman" w:hAnsi="Times New Roman" w:cs="Times New Roman"/>
      <w:b/>
      <w:bCs w:val="0"/>
    </w:rPr>
  </w:style>
  <w:style w:type="character" w:customStyle="1" w:styleId="apple-converted-space">
    <w:name w:val="apple-converted-space"/>
    <w:basedOn w:val="Carpredefinitoparagrafo"/>
  </w:style>
  <w:style w:type="character" w:customStyle="1" w:styleId="ListLabel1">
    <w:name w:val="ListLabel 1"/>
    <w:rPr>
      <w:rFonts w:cs="Courier New"/>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it-IT"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Standard"/>
    <w:next w:val="Textbody"/>
    <w:uiPriority w:val="9"/>
    <w:qFormat/>
    <w:pPr>
      <w:widowControl w:val="0"/>
      <w:spacing w:after="0" w:line="240" w:lineRule="auto"/>
      <w:ind w:left="2154"/>
      <w:outlineLvl w:val="0"/>
    </w:pPr>
    <w:rPr>
      <w:rFonts w:ascii="Arial" w:eastAsia="Arial" w:hAnsi="Arial" w:cs="Arial"/>
      <w:b/>
      <w:bCs/>
      <w:sz w:val="47"/>
      <w:szCs w:val="47"/>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widowControl w:val="0"/>
      <w:spacing w:after="0" w:line="240" w:lineRule="auto"/>
    </w:pPr>
    <w:rPr>
      <w:rFonts w:ascii="Times New Roman" w:eastAsia="Times New Roman" w:hAnsi="Times New Roman" w:cs="Times New Roman"/>
      <w:lang w:val="en-US"/>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eWeb">
    <w:name w:val="Normal (Web)"/>
    <w:basedOn w:val="Standard"/>
    <w:pPr>
      <w:spacing w:before="100" w:after="100" w:line="240" w:lineRule="auto"/>
    </w:pPr>
    <w:rPr>
      <w:rFonts w:ascii="Times New Roman" w:eastAsia="Times New Roman" w:hAnsi="Times New Roman" w:cs="Times New Roman"/>
      <w:sz w:val="24"/>
      <w:szCs w:val="24"/>
      <w:lang w:eastAsia="it-IT"/>
    </w:rPr>
  </w:style>
  <w:style w:type="paragraph" w:customStyle="1" w:styleId="xmsonormal">
    <w:name w:val="x_msonormal"/>
    <w:basedOn w:val="Standard"/>
    <w:pPr>
      <w:spacing w:before="100" w:after="100" w:line="240" w:lineRule="auto"/>
    </w:pPr>
    <w:rPr>
      <w:rFonts w:ascii="Times New Roman" w:eastAsia="Times New Roman" w:hAnsi="Times New Roman" w:cs="Times New Roman"/>
      <w:sz w:val="24"/>
      <w:szCs w:val="24"/>
      <w:lang w:eastAsia="it-IT"/>
    </w:rPr>
  </w:style>
  <w:style w:type="paragraph" w:styleId="Paragrafoelenco">
    <w:name w:val="List Paragraph"/>
    <w:basedOn w:val="Standard"/>
    <w:pPr>
      <w:ind w:left="720"/>
    </w:pPr>
  </w:style>
  <w:style w:type="character" w:customStyle="1" w:styleId="Internetlink">
    <w:name w:val="Internet link"/>
    <w:basedOn w:val="Carpredefinitoparagrafo"/>
    <w:rPr>
      <w:color w:val="0000FF"/>
      <w:u w:val="single"/>
    </w:rPr>
  </w:style>
  <w:style w:type="character" w:customStyle="1" w:styleId="UnresolvedMention">
    <w:name w:val="Unresolved Mention"/>
    <w:basedOn w:val="Carpredefinitoparagrafo"/>
    <w:rPr>
      <w:color w:val="605E5C"/>
    </w:rPr>
  </w:style>
  <w:style w:type="character" w:styleId="Enfasicorsivo">
    <w:name w:val="Emphasis"/>
    <w:basedOn w:val="Carpredefinitoparagrafo"/>
    <w:rPr>
      <w:i/>
      <w:iCs/>
    </w:rPr>
  </w:style>
  <w:style w:type="character" w:customStyle="1" w:styleId="Titolo1Carattere">
    <w:name w:val="Titolo 1 Carattere"/>
    <w:basedOn w:val="Carpredefinitoparagrafo"/>
    <w:rPr>
      <w:rFonts w:ascii="Arial" w:eastAsia="Arial" w:hAnsi="Arial" w:cs="Arial"/>
      <w:b/>
      <w:bCs/>
      <w:sz w:val="47"/>
      <w:szCs w:val="47"/>
      <w:lang w:val="en-US"/>
    </w:rPr>
  </w:style>
  <w:style w:type="character" w:customStyle="1" w:styleId="CorpotestoCarattere">
    <w:name w:val="Corpo testo Carattere"/>
    <w:basedOn w:val="Carpredefinitoparagrafo"/>
    <w:rPr>
      <w:rFonts w:ascii="Times New Roman" w:eastAsia="Times New Roman" w:hAnsi="Times New Roman" w:cs="Times New Roman"/>
      <w:lang w:val="en-US"/>
    </w:rPr>
  </w:style>
  <w:style w:type="character" w:customStyle="1" w:styleId="StrongEmphasis">
    <w:name w:val="Strong Emphasis"/>
    <w:basedOn w:val="Carpredefinitoparagrafo"/>
    <w:rPr>
      <w:rFonts w:ascii="Times New Roman" w:hAnsi="Times New Roman" w:cs="Times New Roman"/>
      <w:b/>
      <w:bCs w:val="0"/>
    </w:rPr>
  </w:style>
  <w:style w:type="character" w:customStyle="1" w:styleId="apple-converted-space">
    <w:name w:val="apple-converted-space"/>
    <w:basedOn w:val="Carpredefinitoparagrafo"/>
  </w:style>
  <w:style w:type="character" w:customStyle="1" w:styleId="ListLabel1">
    <w:name w:val="ListLabel 1"/>
    <w:rPr>
      <w:rFonts w:cs="Courier New"/>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dl@perugiacheckup.it" TargetMode="External"/><Relationship Id="rId4" Type="http://schemas.openxmlformats.org/officeDocument/2006/relationships/settings" Target="settings.xml"/><Relationship Id="rId9" Type="http://schemas.openxmlformats.org/officeDocument/2006/relationships/hyperlink" Target="mailto:info@perugiachecku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467</Words>
  <Characters>2667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Cempella</dc:creator>
  <cp:lastModifiedBy>Alessio Lilli</cp:lastModifiedBy>
  <cp:revision>4</cp:revision>
  <dcterms:created xsi:type="dcterms:W3CDTF">2020-05-24T20:21:00Z</dcterms:created>
  <dcterms:modified xsi:type="dcterms:W3CDTF">2020-11-26T15:06:00Z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