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30FF7" w14:textId="6D253B6C" w:rsidR="00121A41" w:rsidRPr="00CB482C" w:rsidRDefault="00C33559" w:rsidP="00121A4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F873F2" w:rsidRPr="00F873F2">
        <w:rPr>
          <w:rFonts w:ascii="Calibri" w:hAnsi="Calibri" w:cs="Arial"/>
          <w:b/>
          <w:bCs/>
          <w:color w:val="000000"/>
          <w:sz w:val="22"/>
          <w:szCs w:val="22"/>
        </w:rPr>
        <w:t>Superbonus al 110%: un’occasione unica di sviluppo e sostenibilità</w:t>
      </w:r>
    </w:p>
    <w:p w14:paraId="6D8AD94E" w14:textId="60483DB0" w:rsidR="00CE5F79" w:rsidRPr="00CB482C" w:rsidRDefault="00CE5F79" w:rsidP="00CE5F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72422F85" w14:textId="2AE2E3B7" w:rsidR="00121A41" w:rsidRPr="00CB482C" w:rsidRDefault="00F873F2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873F2">
        <w:rPr>
          <w:rFonts w:ascii="Calibri" w:hAnsi="Calibri" w:cs="Arial"/>
          <w:sz w:val="22"/>
          <w:szCs w:val="22"/>
        </w:rPr>
        <w:t>Disponibile registrazione webinar Ance del 27 maggio</w:t>
      </w:r>
    </w:p>
    <w:p w14:paraId="51B46AFD" w14:textId="77777777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DDE7B41" w14:textId="5EDB0525" w:rsidR="00F873F2" w:rsidRPr="009046A0" w:rsidRDefault="00F873F2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046A0">
        <w:rPr>
          <w:rFonts w:ascii="Calibri" w:hAnsi="Calibri" w:cs="Calibri"/>
          <w:sz w:val="22"/>
          <w:szCs w:val="22"/>
        </w:rPr>
        <w:t xml:space="preserve">“Dopo tre anni di tentativi a metà, finalmente il Governo ha creduto in una sfida che come Ance portiamo avanti da tempo e ha potenziato sia gli incentivi che gli strumenti di cessione del credito. Ora sfruttiamoli al meglio per avviare quel grande piano di manutenzione degli immobili privati che è da anni ai nastri di partenza.” Con queste parole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il presidente Ance Gabriele Buia </w:t>
      </w:r>
      <w:r w:rsidRPr="009046A0">
        <w:rPr>
          <w:rFonts w:ascii="Calibri" w:hAnsi="Calibri" w:cs="Calibri"/>
          <w:sz w:val="22"/>
          <w:szCs w:val="22"/>
        </w:rPr>
        <w:t>ha aperto i lavori del webinar dal titolo “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Superbonus al 110%: case verdi e sicure per città sostenibili”, </w:t>
      </w:r>
      <w:r w:rsidRPr="009046A0">
        <w:rPr>
          <w:rFonts w:ascii="Calibri" w:hAnsi="Calibri" w:cs="Calibri"/>
          <w:sz w:val="22"/>
          <w:szCs w:val="22"/>
        </w:rPr>
        <w:t xml:space="preserve">che </w:t>
      </w:r>
      <w:r w:rsidR="00E755D3">
        <w:rPr>
          <w:rFonts w:ascii="Calibri" w:hAnsi="Calibri" w:cs="Calibri"/>
          <w:sz w:val="22"/>
          <w:szCs w:val="22"/>
        </w:rPr>
        <w:t xml:space="preserve">mercoledì </w:t>
      </w:r>
      <w:r w:rsidRPr="009046A0">
        <w:rPr>
          <w:rFonts w:ascii="Calibri" w:hAnsi="Calibri" w:cs="Calibri"/>
          <w:sz w:val="22"/>
          <w:szCs w:val="22"/>
        </w:rPr>
        <w:t xml:space="preserve">ha visto la partecipazione del Sottosegretario di Stato alla Presidenza del Consiglio dei Ministri,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Riccardo Fraccaro, </w:t>
      </w:r>
      <w:r w:rsidRPr="009046A0">
        <w:rPr>
          <w:rFonts w:ascii="Calibri" w:hAnsi="Calibri" w:cs="Calibri"/>
          <w:sz w:val="22"/>
          <w:szCs w:val="22"/>
        </w:rPr>
        <w:t>che ha sottolineato tutte le potenzialità e le scelte strategiche legate al nuovo superbonus. Uno strumento che nasce per dare una risposta forte all’esigenza di rilancio dell’economia, a partire dall’edilizia, ha detto Fraccaro. “Sarebbe importante riuscire a estenderlo al 2022 – ha dichiarato inoltre il Sottosegretario – per utilizzarlo anche per l’abbattimento e la ricostruzione. Se lavoriamo tutti bene a novembre, con la legge di Bilancio, potremo aver dimostrato che questa impostazione keynesiana orientata alla sostenibilità è la strada da percorrere”.</w:t>
      </w:r>
    </w:p>
    <w:p w14:paraId="1B2B531E" w14:textId="77777777" w:rsidR="00F873F2" w:rsidRPr="009046A0" w:rsidRDefault="00F873F2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8206BF4" w14:textId="77777777" w:rsidR="00F873F2" w:rsidRPr="009046A0" w:rsidRDefault="00F873F2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046A0">
        <w:rPr>
          <w:rFonts w:ascii="Calibri" w:hAnsi="Calibri" w:cs="Calibri"/>
          <w:sz w:val="22"/>
          <w:szCs w:val="22"/>
        </w:rPr>
        <w:t xml:space="preserve">Le novità dei nuovi incentivi rafforzati, le opportunità per la riqualificazione energetica e la messa in sicurezza del patrimonio immobiliare sono stati i temi al centro del successivo dibattito, moderato da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Giorgio Santilli </w:t>
      </w:r>
      <w:r w:rsidRPr="009046A0">
        <w:rPr>
          <w:rFonts w:ascii="Calibri" w:hAnsi="Calibri" w:cs="Calibri"/>
          <w:sz w:val="22"/>
          <w:szCs w:val="22"/>
        </w:rPr>
        <w:t xml:space="preserve">del Sole 24 Ore, a cui hanno preso parte </w:t>
      </w:r>
      <w:r w:rsidRPr="009046A0">
        <w:rPr>
          <w:rFonts w:ascii="Calibri" w:hAnsi="Calibri" w:cs="Calibri"/>
          <w:b/>
          <w:bCs/>
          <w:sz w:val="22"/>
          <w:szCs w:val="22"/>
        </w:rPr>
        <w:t>Enrico Esposito</w:t>
      </w:r>
      <w:r w:rsidRPr="009046A0">
        <w:rPr>
          <w:rFonts w:ascii="Calibri" w:hAnsi="Calibri" w:cs="Calibri"/>
          <w:sz w:val="22"/>
          <w:szCs w:val="22"/>
        </w:rPr>
        <w:t xml:space="preserve">, Capo Ufficio Legislativo del Ministero dello Sviluppo economico,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Raffaele Russo, </w:t>
      </w:r>
      <w:r w:rsidRPr="009046A0">
        <w:rPr>
          <w:rFonts w:ascii="Calibri" w:hAnsi="Calibri" w:cs="Calibri"/>
          <w:sz w:val="22"/>
          <w:szCs w:val="22"/>
        </w:rPr>
        <w:t xml:space="preserve">Senior advisor del Ministero dell’Economia e delle Finanze,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Gianfranco Torriero, </w:t>
      </w:r>
      <w:r w:rsidRPr="009046A0">
        <w:rPr>
          <w:rFonts w:ascii="Calibri" w:hAnsi="Calibri" w:cs="Calibri"/>
          <w:sz w:val="22"/>
          <w:szCs w:val="22"/>
        </w:rPr>
        <w:t xml:space="preserve">Vicedirettore generale Abi, e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Umberto Guidoni, </w:t>
      </w:r>
      <w:r w:rsidRPr="009046A0">
        <w:rPr>
          <w:rFonts w:ascii="Calibri" w:hAnsi="Calibri" w:cs="Calibri"/>
          <w:sz w:val="22"/>
          <w:szCs w:val="22"/>
        </w:rPr>
        <w:t xml:space="preserve">Direttore area business Ania. Numerosi gli spunti e le domande, poste in diretta dai vicepresidenti Ance </w:t>
      </w:r>
      <w:r w:rsidRPr="009046A0">
        <w:rPr>
          <w:rFonts w:ascii="Calibri" w:hAnsi="Calibri" w:cs="Calibri"/>
          <w:b/>
          <w:bCs/>
          <w:sz w:val="22"/>
          <w:szCs w:val="22"/>
        </w:rPr>
        <w:t>Marco Dettori, Rudy Girardi, Filippo Delle Piane e Fabio Sanfratello</w:t>
      </w:r>
      <w:r w:rsidRPr="009046A0">
        <w:rPr>
          <w:rFonts w:ascii="Calibri" w:hAnsi="Calibri" w:cs="Calibri"/>
          <w:sz w:val="22"/>
          <w:szCs w:val="22"/>
        </w:rPr>
        <w:t xml:space="preserve">. Dalla questione della durata degli incentivi alla qualità del credito d’imposta, dal dialogo con banche e assicurazioni al ruolo dei tecnici che dovranno asseverare gli interventi. Sarà fondamentale che nel percorso di conversione del DL Rilancio, ha sottolineato il presidente Buia, tutti i nodi vengano sciolti per assicurare la massima </w:t>
      </w:r>
      <w:r w:rsidRPr="009046A0">
        <w:rPr>
          <w:rFonts w:ascii="Calibri" w:hAnsi="Calibri" w:cs="Calibri"/>
          <w:b/>
          <w:bCs/>
          <w:sz w:val="22"/>
          <w:szCs w:val="22"/>
        </w:rPr>
        <w:t xml:space="preserve">chiarezza delle regole e semplicità delle procedure </w:t>
      </w:r>
      <w:r w:rsidRPr="009046A0">
        <w:rPr>
          <w:rFonts w:ascii="Calibri" w:hAnsi="Calibri" w:cs="Calibri"/>
          <w:sz w:val="22"/>
          <w:szCs w:val="22"/>
        </w:rPr>
        <w:t>da adottare. Tutti i soggetti coinvolti, banche, assicurazioni, professionisti devono poter lavorare serenamente nella stessa direzione, ha concluso Buia, con l’obiettivo di consentire con semplicità e senza ostacoli gli obiettivi di sviluppo e sostenibilità a cui la nuova misura tende.</w:t>
      </w:r>
    </w:p>
    <w:p w14:paraId="3EDA6979" w14:textId="77777777" w:rsidR="00F873F2" w:rsidRPr="009046A0" w:rsidRDefault="00F873F2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C0D2E22" w14:textId="77777777" w:rsidR="00F873F2" w:rsidRPr="009046A0" w:rsidRDefault="00F873F2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046A0">
        <w:rPr>
          <w:rFonts w:ascii="Calibri" w:hAnsi="Calibri" w:cs="Calibri"/>
          <w:sz w:val="22"/>
          <w:szCs w:val="22"/>
        </w:rPr>
        <w:t>Ai link seguenti è disponibile il materiale dell’iniziativa:</w:t>
      </w:r>
    </w:p>
    <w:p w14:paraId="00AFACC4" w14:textId="77777777" w:rsidR="00F873F2" w:rsidRPr="009046A0" w:rsidRDefault="00F873F2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838995" w14:textId="77777777" w:rsidR="00F873F2" w:rsidRPr="009046A0" w:rsidRDefault="00C33559" w:rsidP="00F873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="00F873F2" w:rsidRPr="009046A0">
          <w:rPr>
            <w:rFonts w:ascii="Calibri" w:hAnsi="Calibri" w:cs="Calibri"/>
            <w:color w:val="000000"/>
            <w:sz w:val="22"/>
            <w:szCs w:val="22"/>
            <w:u w:val="single"/>
          </w:rPr>
          <w:t>Vai al video spot introduttivo</w:t>
        </w:r>
      </w:hyperlink>
    </w:p>
    <w:p w14:paraId="474203AE" w14:textId="77777777" w:rsidR="00F873F2" w:rsidRPr="009046A0" w:rsidRDefault="00C33559" w:rsidP="00F873F2">
      <w:pPr>
        <w:jc w:val="both"/>
        <w:rPr>
          <w:rFonts w:ascii="Calibri" w:hAnsi="Calibri" w:cs="Calibri"/>
          <w:color w:val="5A5A5A"/>
          <w:sz w:val="22"/>
          <w:szCs w:val="22"/>
        </w:rPr>
      </w:pPr>
      <w:hyperlink r:id="rId8" w:history="1">
        <w:r w:rsidR="00F873F2" w:rsidRPr="009046A0">
          <w:rPr>
            <w:rFonts w:ascii="Calibri" w:hAnsi="Calibri" w:cs="Calibri"/>
            <w:color w:val="000000"/>
            <w:sz w:val="22"/>
            <w:szCs w:val="22"/>
            <w:u w:val="single"/>
          </w:rPr>
          <w:t>Vai alla registrazione dell'evento</w:t>
        </w:r>
      </w:hyperlink>
    </w:p>
    <w:p w14:paraId="4A93F477" w14:textId="77777777" w:rsidR="00F873F2" w:rsidRPr="009046A0" w:rsidRDefault="00F873F2" w:rsidP="00F873F2">
      <w:pPr>
        <w:jc w:val="both"/>
        <w:rPr>
          <w:rFonts w:ascii="Calibri" w:hAnsi="Calibri" w:cs="Calibri"/>
          <w:color w:val="5A5A5A"/>
          <w:sz w:val="22"/>
          <w:szCs w:val="22"/>
        </w:rPr>
      </w:pPr>
    </w:p>
    <w:p w14:paraId="782D59D3" w14:textId="77777777" w:rsidR="00F873F2" w:rsidRDefault="00F873F2" w:rsidP="00B23422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559C0EBE" w14:textId="110E99C2" w:rsidR="006411DF" w:rsidRPr="00CB482C" w:rsidRDefault="006411DF" w:rsidP="00B23422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B482C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CB482C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CB482C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CB482C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CB482C">
        <w:rPr>
          <w:rFonts w:ascii="Calibri" w:hAnsi="Calibri"/>
          <w:sz w:val="22"/>
          <w:szCs w:val="22"/>
        </w:rPr>
        <w:t xml:space="preserve">Perugia – </w:t>
      </w:r>
      <w:hyperlink r:id="rId9" w:history="1">
        <w:r w:rsidRPr="00CB482C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CB482C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CB482C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CB482C">
        <w:rPr>
          <w:rFonts w:ascii="Calibri" w:hAnsi="Calibri"/>
          <w:sz w:val="22"/>
          <w:szCs w:val="22"/>
        </w:rPr>
        <w:t xml:space="preserve">Terni - </w:t>
      </w:r>
      <w:hyperlink r:id="rId10" w:history="1">
        <w:r w:rsidRPr="00CB482C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CB482C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CB482C" w:rsidRDefault="005A6420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466B8C8A" w:rsidR="00783E6E" w:rsidRPr="00CB482C" w:rsidRDefault="00952E48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CB482C">
        <w:rPr>
          <w:rFonts w:ascii="Calibri" w:hAnsi="Calibri" w:cs="Calibri"/>
          <w:sz w:val="22"/>
          <w:szCs w:val="22"/>
        </w:rPr>
        <w:t xml:space="preserve">Pubblicato il </w:t>
      </w:r>
      <w:r w:rsidR="00121A41" w:rsidRPr="00CB482C">
        <w:rPr>
          <w:rFonts w:ascii="Calibri" w:hAnsi="Calibri" w:cs="Calibri"/>
          <w:sz w:val="22"/>
          <w:szCs w:val="22"/>
        </w:rPr>
        <w:t>2</w:t>
      </w:r>
      <w:r w:rsidR="00F873F2">
        <w:rPr>
          <w:rFonts w:ascii="Calibri" w:hAnsi="Calibri" w:cs="Calibri"/>
          <w:sz w:val="22"/>
          <w:szCs w:val="22"/>
        </w:rPr>
        <w:t>8</w:t>
      </w:r>
      <w:r w:rsidR="00197786" w:rsidRPr="00CB482C">
        <w:rPr>
          <w:rFonts w:ascii="Calibri" w:hAnsi="Calibri" w:cs="Calibri"/>
          <w:sz w:val="22"/>
          <w:szCs w:val="22"/>
        </w:rPr>
        <w:t>/05</w:t>
      </w:r>
      <w:r w:rsidR="00297F87" w:rsidRPr="00CB482C">
        <w:rPr>
          <w:rFonts w:ascii="Calibri" w:hAnsi="Calibri" w:cs="Calibri"/>
          <w:sz w:val="22"/>
          <w:szCs w:val="22"/>
        </w:rPr>
        <w:t>/2020</w:t>
      </w:r>
    </w:p>
    <w:sectPr w:rsidR="00783E6E" w:rsidRPr="00CB482C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54F6A" w14:textId="77777777" w:rsidR="00C33559" w:rsidRDefault="00C33559">
      <w:r>
        <w:separator/>
      </w:r>
    </w:p>
  </w:endnote>
  <w:endnote w:type="continuationSeparator" w:id="0">
    <w:p w14:paraId="134D8A95" w14:textId="77777777" w:rsidR="00C33559" w:rsidRDefault="00C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E0F80" w14:textId="77777777" w:rsidR="00C33559" w:rsidRDefault="00C33559">
      <w:r>
        <w:separator/>
      </w:r>
    </w:p>
  </w:footnote>
  <w:footnote w:type="continuationSeparator" w:id="0">
    <w:p w14:paraId="6000FF78" w14:textId="77777777" w:rsidR="00C33559" w:rsidRDefault="00C3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C3355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4"/>
  </w:num>
  <w:num w:numId="9">
    <w:abstractNumId w:val="31"/>
  </w:num>
  <w:num w:numId="10">
    <w:abstractNumId w:val="23"/>
  </w:num>
  <w:num w:numId="11">
    <w:abstractNumId w:val="10"/>
  </w:num>
  <w:num w:numId="12">
    <w:abstractNumId w:val="21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5"/>
  </w:num>
  <w:num w:numId="20">
    <w:abstractNumId w:val="17"/>
  </w:num>
  <w:num w:numId="21">
    <w:abstractNumId w:val="5"/>
  </w:num>
  <w:num w:numId="22">
    <w:abstractNumId w:val="30"/>
  </w:num>
  <w:num w:numId="23">
    <w:abstractNumId w:val="16"/>
  </w:num>
  <w:num w:numId="24">
    <w:abstractNumId w:val="14"/>
  </w:num>
  <w:num w:numId="25">
    <w:abstractNumId w:val="29"/>
  </w:num>
  <w:num w:numId="26">
    <w:abstractNumId w:val="27"/>
  </w:num>
  <w:num w:numId="27">
    <w:abstractNumId w:val="28"/>
  </w:num>
  <w:num w:numId="28">
    <w:abstractNumId w:val="22"/>
  </w:num>
  <w:num w:numId="29">
    <w:abstractNumId w:val="20"/>
  </w:num>
  <w:num w:numId="30">
    <w:abstractNumId w:val="11"/>
  </w:num>
  <w:num w:numId="31">
    <w:abstractNumId w:val="26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1A41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6AA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046A0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33559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482C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755D3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873F2"/>
    <w:rsid w:val="00F9163B"/>
    <w:rsid w:val="00F94CCF"/>
    <w:rsid w:val="00FA52B2"/>
    <w:rsid w:val="00FC5166"/>
    <w:rsid w:val="00FC53D5"/>
    <w:rsid w:val="00FC6664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e.it/Docs/multimedia.aspx?id=4845&amp;pid=-1&amp;pcid=4715&amp;docId=402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ce.it/Docs/multimedia.aspx?id=4845&amp;pid=-1&amp;pcid=4715&amp;docId=4029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SW12ADC02\archivi\010_CONFINDUSTRIA%20UMBRIA\Notiziario\2020\EDILIZIA\edilizia@confindustria.ter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info@anceumbria.it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3392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7</cp:revision>
  <cp:lastPrinted>2019-02-27T17:41:00Z</cp:lastPrinted>
  <dcterms:created xsi:type="dcterms:W3CDTF">2020-05-25T08:58:00Z</dcterms:created>
  <dcterms:modified xsi:type="dcterms:W3CDTF">2020-05-28T10:07:00Z</dcterms:modified>
</cp:coreProperties>
</file>