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F4A4F" w14:textId="6B51EF33" w:rsidR="00423098" w:rsidRPr="00423098" w:rsidRDefault="008A526C" w:rsidP="00423098">
      <w:pPr>
        <w:ind w:right="142"/>
        <w:jc w:val="both"/>
        <w:rPr>
          <w:rFonts w:ascii="Calibri" w:hAnsi="Calibri"/>
          <w:b/>
          <w:bCs/>
          <w:sz w:val="22"/>
          <w:szCs w:val="22"/>
        </w:rPr>
      </w:pPr>
      <w:r>
        <w:rPr>
          <w:rFonts w:ascii="Calibri" w:hAnsi="Calibri"/>
          <w:b/>
          <w:bCs/>
          <w:sz w:val="22"/>
          <w:szCs w:val="22"/>
        </w:rPr>
        <w:pict w14:anchorId="036903AB">
          <v:shape id="Segno di sottrazione 5" o:spid="_x0000_s1026" style="position:absolute;left:0;text-align:left;margin-left:-73.75pt;margin-top:-24pt;width:599.25pt;height:3.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" path="m1008768,17483r5592939,l6601707,28236r-5592939,l1008768,17483xe" fillcolor="#205394" strokecolor="#385d8a" strokeweight="1pt">
            <v:path arrowok="t" o:connecttype="custom" o:connectlocs="1008768,17483;6601707,17483;6601707,28236;1008768,28236;1008768,17483" o:connectangles="0,0,0,0,0"/>
          </v:shape>
        </w:pict>
      </w:r>
      <w:r w:rsidR="00BE5974" w:rsidRPr="00BE5974">
        <w:rPr>
          <w:rFonts w:ascii="Calibri" w:hAnsi="Calibri"/>
          <w:b/>
          <w:bCs/>
          <w:sz w:val="22"/>
          <w:szCs w:val="22"/>
        </w:rPr>
        <w:t>Subappalto: sentenze “a confronto”</w:t>
      </w:r>
    </w:p>
    <w:p w14:paraId="727DFBF6" w14:textId="3679C44B" w:rsidR="00423098" w:rsidRDefault="00423098" w:rsidP="00423098">
      <w:pPr>
        <w:pStyle w:val="NormaleWeb"/>
        <w:jc w:val="both"/>
        <w:rPr>
          <w:rFonts w:ascii="Calibri" w:hAnsi="Calibri"/>
          <w:sz w:val="22"/>
          <w:szCs w:val="22"/>
        </w:rPr>
      </w:pPr>
    </w:p>
    <w:p w14:paraId="362B47C3" w14:textId="2DE20E16" w:rsidR="00652628" w:rsidRPr="00944DDE" w:rsidRDefault="00944DDE" w:rsidP="00652628">
      <w:pPr>
        <w:jc w:val="both"/>
        <w:rPr>
          <w:rFonts w:ascii="Calibri" w:hAnsi="Calibri"/>
          <w:bCs/>
          <w:sz w:val="22"/>
          <w:szCs w:val="22"/>
        </w:rPr>
      </w:pPr>
      <w:r w:rsidRPr="00944DDE">
        <w:rPr>
          <w:rFonts w:ascii="Calibri" w:hAnsi="Calibri"/>
          <w:bCs/>
          <w:sz w:val="22"/>
          <w:szCs w:val="22"/>
        </w:rPr>
        <w:t>TAR Lazio e TAR Marche si pronunciano su criticità interpretative</w:t>
      </w:r>
    </w:p>
    <w:p w14:paraId="3FA4187B" w14:textId="77777777" w:rsidR="00944DDE" w:rsidRDefault="00944DDE" w:rsidP="00BE5974">
      <w:pPr>
        <w:autoSpaceDE w:val="0"/>
        <w:autoSpaceDN w:val="0"/>
        <w:adjustRightInd w:val="0"/>
        <w:jc w:val="both"/>
        <w:rPr>
          <w:rFonts w:ascii="Calibri" w:hAnsi="Calibri" w:cs="Calibri"/>
          <w:color w:val="000000"/>
          <w:sz w:val="22"/>
          <w:szCs w:val="22"/>
        </w:rPr>
      </w:pPr>
    </w:p>
    <w:p w14:paraId="76732C83" w14:textId="13445601" w:rsidR="00BE5974" w:rsidRPr="009C1CCC" w:rsidRDefault="00BE5974" w:rsidP="00BE5974">
      <w:pPr>
        <w:autoSpaceDE w:val="0"/>
        <w:autoSpaceDN w:val="0"/>
        <w:adjustRightInd w:val="0"/>
        <w:jc w:val="both"/>
        <w:rPr>
          <w:rFonts w:ascii="Calibri" w:hAnsi="Calibri" w:cs="Calibri"/>
          <w:color w:val="000000"/>
          <w:sz w:val="22"/>
          <w:szCs w:val="22"/>
        </w:rPr>
      </w:pPr>
      <w:r w:rsidRPr="009C1CCC">
        <w:rPr>
          <w:rFonts w:ascii="Calibri" w:hAnsi="Calibri" w:cs="Calibri"/>
          <w:color w:val="000000"/>
          <w:sz w:val="22"/>
          <w:szCs w:val="22"/>
        </w:rPr>
        <w:t>Due pronunce, una del TAR Lazio e una del TAR Marche, affrontano alcune delle maggiori criticità interpretative riguardanti il subappalto.</w:t>
      </w:r>
    </w:p>
    <w:p w14:paraId="3B7FA2F7" w14:textId="77777777" w:rsidR="00BE5974" w:rsidRPr="009C1CCC" w:rsidRDefault="00BE5974" w:rsidP="00BE5974">
      <w:pPr>
        <w:autoSpaceDE w:val="0"/>
        <w:autoSpaceDN w:val="0"/>
        <w:adjustRightInd w:val="0"/>
        <w:jc w:val="both"/>
        <w:rPr>
          <w:rFonts w:ascii="Calibri" w:hAnsi="Calibri" w:cs="Calibri"/>
          <w:color w:val="000000"/>
          <w:sz w:val="22"/>
          <w:szCs w:val="22"/>
        </w:rPr>
      </w:pPr>
    </w:p>
    <w:p w14:paraId="2A9BB493" w14:textId="77777777" w:rsidR="00BE5974" w:rsidRPr="009C1CCC" w:rsidRDefault="00BE5974" w:rsidP="00BE5974">
      <w:pPr>
        <w:autoSpaceDE w:val="0"/>
        <w:autoSpaceDN w:val="0"/>
        <w:adjustRightInd w:val="0"/>
        <w:jc w:val="both"/>
        <w:rPr>
          <w:rFonts w:ascii="Calibri" w:hAnsi="Calibri" w:cs="Calibri"/>
          <w:color w:val="000000"/>
          <w:sz w:val="22"/>
          <w:szCs w:val="22"/>
        </w:rPr>
      </w:pPr>
      <w:r w:rsidRPr="009C1CCC">
        <w:rPr>
          <w:rFonts w:ascii="Calibri" w:hAnsi="Calibri" w:cs="Calibri"/>
          <w:color w:val="000000"/>
          <w:sz w:val="22"/>
          <w:szCs w:val="22"/>
        </w:rPr>
        <w:t>Di seguito, un’analisi dei passaggi più significativi.</w:t>
      </w:r>
    </w:p>
    <w:p w14:paraId="326B32E3" w14:textId="77777777" w:rsidR="00BE5974" w:rsidRPr="009C1CCC" w:rsidRDefault="00BE5974" w:rsidP="00BE5974">
      <w:pPr>
        <w:autoSpaceDE w:val="0"/>
        <w:autoSpaceDN w:val="0"/>
        <w:adjustRightInd w:val="0"/>
        <w:jc w:val="both"/>
        <w:rPr>
          <w:rFonts w:ascii="Calibri" w:hAnsi="Calibri" w:cs="Calibri"/>
          <w:color w:val="000000"/>
          <w:sz w:val="22"/>
          <w:szCs w:val="22"/>
        </w:rPr>
      </w:pPr>
    </w:p>
    <w:p w14:paraId="558BECE1" w14:textId="77777777" w:rsidR="00BE5974" w:rsidRPr="009C1CCC" w:rsidRDefault="00BE5974" w:rsidP="00BE5974">
      <w:pPr>
        <w:numPr>
          <w:ilvl w:val="0"/>
          <w:numId w:val="26"/>
        </w:numPr>
        <w:autoSpaceDE w:val="0"/>
        <w:autoSpaceDN w:val="0"/>
        <w:adjustRightInd w:val="0"/>
        <w:jc w:val="both"/>
        <w:rPr>
          <w:rFonts w:ascii="Calibri" w:hAnsi="Calibri" w:cs="Calibri"/>
          <w:b/>
          <w:bCs/>
          <w:sz w:val="22"/>
          <w:szCs w:val="22"/>
        </w:rPr>
      </w:pPr>
      <w:r w:rsidRPr="009C1CCC">
        <w:rPr>
          <w:rFonts w:ascii="Calibri" w:hAnsi="Calibri" w:cs="Calibri"/>
          <w:b/>
          <w:bCs/>
          <w:sz w:val="22"/>
          <w:szCs w:val="22"/>
        </w:rPr>
        <w:t>Il TAR LAZIO e il limite del 40% al subappalto</w:t>
      </w:r>
    </w:p>
    <w:p w14:paraId="740B5957" w14:textId="77777777" w:rsidR="00BE5974" w:rsidRPr="009C1CCC" w:rsidRDefault="00BE5974" w:rsidP="00BE5974">
      <w:pPr>
        <w:autoSpaceDE w:val="0"/>
        <w:autoSpaceDN w:val="0"/>
        <w:adjustRightInd w:val="0"/>
        <w:ind w:left="720"/>
        <w:jc w:val="both"/>
        <w:rPr>
          <w:rFonts w:ascii="Calibri" w:hAnsi="Calibri" w:cs="Calibri"/>
          <w:b/>
          <w:bCs/>
          <w:sz w:val="22"/>
          <w:szCs w:val="22"/>
        </w:rPr>
      </w:pPr>
    </w:p>
    <w:p w14:paraId="726F4421" w14:textId="77777777" w:rsidR="00BE5974" w:rsidRPr="009C1CCC" w:rsidRDefault="00BE5974" w:rsidP="00BE5974">
      <w:pPr>
        <w:autoSpaceDE w:val="0"/>
        <w:autoSpaceDN w:val="0"/>
        <w:adjustRightInd w:val="0"/>
        <w:jc w:val="both"/>
        <w:rPr>
          <w:rFonts w:ascii="Calibri" w:hAnsi="Calibri" w:cs="Calibri"/>
          <w:color w:val="000000"/>
          <w:sz w:val="22"/>
          <w:szCs w:val="22"/>
        </w:rPr>
      </w:pPr>
      <w:r w:rsidRPr="009C1CCC">
        <w:rPr>
          <w:rFonts w:ascii="Calibri" w:hAnsi="Calibri" w:cs="Calibri"/>
          <w:color w:val="000000"/>
          <w:sz w:val="22"/>
          <w:szCs w:val="22"/>
        </w:rPr>
        <w:t xml:space="preserve">Il TAR Lazio, sez. I, con la sentenza del 24 aprile 2020, n. 4183, è intervenuto sul limite temporaneo del 40% al subappalto, risultante dal DL n.32/2019, c.d. “Sblocca cantieri”, dopo la conversione con la L. n. 55 del 14 giugno 2019, ritenendo che </w:t>
      </w:r>
      <w:r w:rsidRPr="009C1CCC">
        <w:rPr>
          <w:rFonts w:ascii="Calibri" w:hAnsi="Calibri" w:cs="Calibri"/>
          <w:b/>
          <w:bCs/>
          <w:color w:val="000000"/>
          <w:sz w:val="22"/>
          <w:szCs w:val="22"/>
        </w:rPr>
        <w:t xml:space="preserve">l’innalzamento temporaneo </w:t>
      </w:r>
      <w:r w:rsidRPr="009C1CCC">
        <w:rPr>
          <w:rFonts w:ascii="Calibri" w:hAnsi="Calibri" w:cs="Calibri"/>
          <w:color w:val="000000"/>
          <w:sz w:val="22"/>
          <w:szCs w:val="22"/>
        </w:rPr>
        <w:t xml:space="preserve">per tutto l’anno 2020 </w:t>
      </w:r>
      <w:r w:rsidRPr="009C1CCC">
        <w:rPr>
          <w:rFonts w:ascii="Calibri" w:hAnsi="Calibri" w:cs="Calibri"/>
          <w:b/>
          <w:bCs/>
          <w:color w:val="000000"/>
          <w:sz w:val="22"/>
          <w:szCs w:val="22"/>
        </w:rPr>
        <w:t xml:space="preserve">del limite del subappalto dal 30% al 40% </w:t>
      </w:r>
      <w:r w:rsidRPr="009C1CCC">
        <w:rPr>
          <w:rFonts w:ascii="Calibri" w:hAnsi="Calibri" w:cs="Calibri"/>
          <w:color w:val="000000"/>
          <w:sz w:val="22"/>
          <w:szCs w:val="22"/>
        </w:rPr>
        <w:t xml:space="preserve">delle prestazioni totali può ritenersi </w:t>
      </w:r>
      <w:r w:rsidRPr="009C1CCC">
        <w:rPr>
          <w:rFonts w:ascii="Calibri" w:hAnsi="Calibri" w:cs="Calibri"/>
          <w:b/>
          <w:bCs/>
          <w:color w:val="000000"/>
          <w:sz w:val="22"/>
          <w:szCs w:val="22"/>
        </w:rPr>
        <w:t xml:space="preserve">coerente con le indicazioni contenute nelle pronunce sul punto della Corte Giustizia UE </w:t>
      </w:r>
      <w:r w:rsidRPr="009C1CCC">
        <w:rPr>
          <w:rFonts w:ascii="Calibri" w:hAnsi="Calibri" w:cs="Calibri"/>
          <w:color w:val="000000"/>
          <w:sz w:val="22"/>
          <w:szCs w:val="22"/>
        </w:rPr>
        <w:t>(</w:t>
      </w:r>
      <w:r w:rsidRPr="009C1CCC">
        <w:rPr>
          <w:rFonts w:ascii="Calibri" w:hAnsi="Calibri" w:cs="Calibri"/>
          <w:i/>
          <w:iCs/>
          <w:color w:val="000000"/>
          <w:sz w:val="22"/>
          <w:szCs w:val="22"/>
        </w:rPr>
        <w:t xml:space="preserve">cfr. </w:t>
      </w:r>
      <w:r w:rsidRPr="009C1CCC">
        <w:rPr>
          <w:rFonts w:ascii="Calibri" w:hAnsi="Calibri" w:cs="Calibri"/>
          <w:color w:val="000000"/>
          <w:sz w:val="22"/>
          <w:szCs w:val="22"/>
        </w:rPr>
        <w:t>C. Giustizia UE 26/09/2019, C-63/18 e C. Giustizia UE 27/11/2019, C-402/18).</w:t>
      </w:r>
    </w:p>
    <w:p w14:paraId="3195AAFD" w14:textId="77777777" w:rsidR="00BE5974" w:rsidRPr="009C1CCC" w:rsidRDefault="00BE5974" w:rsidP="00BE5974">
      <w:pPr>
        <w:autoSpaceDE w:val="0"/>
        <w:autoSpaceDN w:val="0"/>
        <w:adjustRightInd w:val="0"/>
        <w:jc w:val="both"/>
        <w:rPr>
          <w:rFonts w:ascii="Calibri" w:hAnsi="Calibri" w:cs="Calibri"/>
          <w:color w:val="000000"/>
          <w:sz w:val="22"/>
          <w:szCs w:val="22"/>
        </w:rPr>
      </w:pPr>
    </w:p>
    <w:p w14:paraId="55CD6F45" w14:textId="77777777" w:rsidR="00BE5974" w:rsidRPr="009C1CCC" w:rsidRDefault="00BE5974" w:rsidP="00BE5974">
      <w:pPr>
        <w:autoSpaceDE w:val="0"/>
        <w:autoSpaceDN w:val="0"/>
        <w:adjustRightInd w:val="0"/>
        <w:jc w:val="both"/>
        <w:rPr>
          <w:rFonts w:ascii="Calibri" w:hAnsi="Calibri" w:cs="Calibri"/>
          <w:color w:val="000000"/>
          <w:sz w:val="22"/>
          <w:szCs w:val="22"/>
        </w:rPr>
      </w:pPr>
      <w:r w:rsidRPr="009C1CCC">
        <w:rPr>
          <w:rFonts w:ascii="Calibri" w:hAnsi="Calibri" w:cs="Calibri"/>
          <w:color w:val="000000"/>
          <w:sz w:val="22"/>
          <w:szCs w:val="22"/>
        </w:rPr>
        <w:t xml:space="preserve">Ad avviso del collegio giudicante, </w:t>
      </w:r>
      <w:r w:rsidRPr="009C1CCC">
        <w:rPr>
          <w:rFonts w:ascii="Calibri" w:hAnsi="Calibri" w:cs="Calibri"/>
          <w:b/>
          <w:bCs/>
          <w:color w:val="000000"/>
          <w:sz w:val="22"/>
          <w:szCs w:val="22"/>
        </w:rPr>
        <w:t>le suddette pronunce</w:t>
      </w:r>
      <w:r w:rsidRPr="009C1CCC">
        <w:rPr>
          <w:rFonts w:ascii="Calibri" w:hAnsi="Calibri" w:cs="Calibri"/>
          <w:color w:val="000000"/>
          <w:sz w:val="22"/>
          <w:szCs w:val="22"/>
        </w:rPr>
        <w:t>, pur avendo censurato il limite al subappalto previsto dal diritto interno nella soglia del 30% dei lavori</w:t>
      </w:r>
      <w:r w:rsidRPr="009C1CCC">
        <w:rPr>
          <w:rFonts w:ascii="Calibri" w:hAnsi="Calibri" w:cs="Calibri"/>
          <w:b/>
          <w:bCs/>
          <w:color w:val="000000"/>
          <w:sz w:val="22"/>
          <w:szCs w:val="22"/>
        </w:rPr>
        <w:t>, non avrebbero escluso la compatibilità con il diritto dell’Unione di limiti superiori</w:t>
      </w:r>
      <w:r w:rsidRPr="009C1CCC">
        <w:rPr>
          <w:rFonts w:ascii="Calibri" w:hAnsi="Calibri" w:cs="Calibri"/>
          <w:color w:val="000000"/>
          <w:sz w:val="22"/>
          <w:szCs w:val="22"/>
        </w:rPr>
        <w:t>.</w:t>
      </w:r>
    </w:p>
    <w:p w14:paraId="45328F38" w14:textId="77777777" w:rsidR="00BE5974" w:rsidRPr="009C1CCC" w:rsidRDefault="00BE5974" w:rsidP="00BE5974">
      <w:pPr>
        <w:autoSpaceDE w:val="0"/>
        <w:autoSpaceDN w:val="0"/>
        <w:adjustRightInd w:val="0"/>
        <w:jc w:val="both"/>
        <w:rPr>
          <w:rFonts w:ascii="Calibri" w:hAnsi="Calibri" w:cs="Calibri"/>
          <w:color w:val="000000"/>
          <w:sz w:val="22"/>
          <w:szCs w:val="22"/>
        </w:rPr>
      </w:pPr>
    </w:p>
    <w:p w14:paraId="3FAD396D" w14:textId="77777777" w:rsidR="00BE5974" w:rsidRPr="009C1CCC" w:rsidRDefault="00BE5974" w:rsidP="00BE5974">
      <w:pPr>
        <w:autoSpaceDE w:val="0"/>
        <w:autoSpaceDN w:val="0"/>
        <w:adjustRightInd w:val="0"/>
        <w:jc w:val="both"/>
        <w:rPr>
          <w:rFonts w:ascii="Calibri" w:hAnsi="Calibri" w:cs="Calibri"/>
          <w:color w:val="000000"/>
          <w:sz w:val="22"/>
          <w:szCs w:val="22"/>
        </w:rPr>
      </w:pPr>
      <w:r w:rsidRPr="009C1CCC">
        <w:rPr>
          <w:rFonts w:ascii="Calibri" w:hAnsi="Calibri" w:cs="Calibri"/>
          <w:color w:val="000000"/>
          <w:sz w:val="22"/>
          <w:szCs w:val="22"/>
        </w:rPr>
        <w:t xml:space="preserve">Ciò troverebbe conferma nel fatto che la stessa Corte UE, nel riconoscere la </w:t>
      </w:r>
      <w:r w:rsidRPr="009C1CCC">
        <w:rPr>
          <w:rFonts w:ascii="Calibri" w:hAnsi="Calibri" w:cs="Calibri"/>
          <w:b/>
          <w:bCs/>
          <w:color w:val="000000"/>
          <w:sz w:val="22"/>
          <w:szCs w:val="22"/>
        </w:rPr>
        <w:t xml:space="preserve">legittimità dell’obiettivo nazionale di contrasto al fenomeno dell’infiltrazione della criminalità organizzata </w:t>
      </w:r>
      <w:r w:rsidRPr="009C1CCC">
        <w:rPr>
          <w:rFonts w:ascii="Calibri" w:hAnsi="Calibri" w:cs="Calibri"/>
          <w:color w:val="000000"/>
          <w:sz w:val="22"/>
          <w:szCs w:val="22"/>
        </w:rPr>
        <w:t>nel settore degli appalti pubblici, ha comunque aperto a possibili restrizioni alle norme fondamentali e ai principi generali dell’Unione europea che si applicano nell’ambito delle procedure di aggiudicazione degli appalti pubblici (vedi in proposito anche Consiglio di Stato, sez. III, Sent. 11/05/2020, n. 2962).</w:t>
      </w:r>
    </w:p>
    <w:p w14:paraId="7380DB84" w14:textId="77777777" w:rsidR="00BE5974" w:rsidRPr="009C1CCC" w:rsidRDefault="00BE5974" w:rsidP="00BE5974">
      <w:pPr>
        <w:autoSpaceDE w:val="0"/>
        <w:autoSpaceDN w:val="0"/>
        <w:adjustRightInd w:val="0"/>
        <w:jc w:val="both"/>
        <w:rPr>
          <w:rFonts w:ascii="Calibri" w:hAnsi="Calibri" w:cs="Calibri"/>
          <w:color w:val="000000"/>
          <w:sz w:val="22"/>
          <w:szCs w:val="22"/>
        </w:rPr>
      </w:pPr>
    </w:p>
    <w:p w14:paraId="31725DC0" w14:textId="77777777" w:rsidR="00BE5974" w:rsidRPr="009C1CCC" w:rsidRDefault="00BE5974" w:rsidP="00BE5974">
      <w:pPr>
        <w:autoSpaceDE w:val="0"/>
        <w:autoSpaceDN w:val="0"/>
        <w:adjustRightInd w:val="0"/>
        <w:jc w:val="both"/>
        <w:rPr>
          <w:rFonts w:ascii="Calibri" w:hAnsi="Calibri" w:cs="Calibri"/>
          <w:color w:val="000000"/>
          <w:sz w:val="22"/>
          <w:szCs w:val="22"/>
        </w:rPr>
      </w:pPr>
      <w:r w:rsidRPr="009C1CCC">
        <w:rPr>
          <w:rFonts w:ascii="Calibri" w:hAnsi="Calibri" w:cs="Calibri"/>
          <w:color w:val="000000"/>
          <w:sz w:val="22"/>
          <w:szCs w:val="22"/>
        </w:rPr>
        <w:t xml:space="preserve">Ne conseguirebbe che </w:t>
      </w:r>
      <w:r w:rsidRPr="009C1CCC">
        <w:rPr>
          <w:rFonts w:ascii="Calibri" w:hAnsi="Calibri" w:cs="Calibri"/>
          <w:b/>
          <w:bCs/>
          <w:color w:val="000000"/>
          <w:sz w:val="22"/>
          <w:szCs w:val="22"/>
        </w:rPr>
        <w:t>la Corte UE non ha escluso la possibilità per il legislatore nazionale di individuare</w:t>
      </w:r>
      <w:r w:rsidRPr="009C1CCC">
        <w:rPr>
          <w:rFonts w:ascii="Calibri" w:hAnsi="Calibri" w:cs="Calibri"/>
          <w:color w:val="000000"/>
          <w:sz w:val="22"/>
          <w:szCs w:val="22"/>
        </w:rPr>
        <w:t xml:space="preserve">, al fine di evitare ostacoli al controllo dei soggetti aggiudicatari, </w:t>
      </w:r>
      <w:r w:rsidRPr="009C1CCC">
        <w:rPr>
          <w:rFonts w:ascii="Calibri" w:hAnsi="Calibri" w:cs="Calibri"/>
          <w:b/>
          <w:bCs/>
          <w:color w:val="000000"/>
          <w:sz w:val="22"/>
          <w:szCs w:val="22"/>
        </w:rPr>
        <w:t xml:space="preserve">un limite al subappalto laddove sia proporzionato </w:t>
      </w:r>
      <w:r w:rsidRPr="009C1CCC">
        <w:rPr>
          <w:rFonts w:ascii="Calibri" w:hAnsi="Calibri" w:cs="Calibri"/>
          <w:color w:val="000000"/>
          <w:sz w:val="22"/>
          <w:szCs w:val="22"/>
        </w:rPr>
        <w:t>rispetto al suddetto obiettivo.</w:t>
      </w:r>
    </w:p>
    <w:p w14:paraId="0B835FE7" w14:textId="77777777" w:rsidR="00BE5974" w:rsidRPr="009C1CCC" w:rsidRDefault="00BE5974" w:rsidP="00BE5974">
      <w:pPr>
        <w:autoSpaceDE w:val="0"/>
        <w:autoSpaceDN w:val="0"/>
        <w:adjustRightInd w:val="0"/>
        <w:jc w:val="both"/>
        <w:rPr>
          <w:rFonts w:ascii="Calibri" w:hAnsi="Calibri" w:cs="Calibri"/>
          <w:color w:val="000000"/>
          <w:sz w:val="22"/>
          <w:szCs w:val="22"/>
        </w:rPr>
      </w:pPr>
    </w:p>
    <w:p w14:paraId="4A02C987" w14:textId="77777777" w:rsidR="00BE5974" w:rsidRPr="009C1CCC" w:rsidRDefault="00BE5974" w:rsidP="00BE5974">
      <w:pPr>
        <w:autoSpaceDE w:val="0"/>
        <w:autoSpaceDN w:val="0"/>
        <w:adjustRightInd w:val="0"/>
        <w:jc w:val="both"/>
        <w:rPr>
          <w:rFonts w:ascii="Calibri" w:hAnsi="Calibri" w:cs="Calibri"/>
          <w:color w:val="000000"/>
          <w:sz w:val="22"/>
          <w:szCs w:val="22"/>
        </w:rPr>
      </w:pPr>
      <w:r w:rsidRPr="009C1CCC">
        <w:rPr>
          <w:rFonts w:ascii="Calibri" w:hAnsi="Calibri" w:cs="Calibri"/>
          <w:color w:val="000000"/>
          <w:sz w:val="22"/>
          <w:szCs w:val="22"/>
        </w:rPr>
        <w:t xml:space="preserve">Pertanto, conclude il TAR, </w:t>
      </w:r>
      <w:r w:rsidRPr="009C1CCC">
        <w:rPr>
          <w:rFonts w:ascii="Calibri" w:hAnsi="Calibri" w:cs="Calibri"/>
          <w:b/>
          <w:bCs/>
          <w:color w:val="000000"/>
          <w:sz w:val="22"/>
          <w:szCs w:val="22"/>
        </w:rPr>
        <w:t xml:space="preserve">non può ritenersi contrastante con il diritto comunitario l’attuale limite al subappalto pari al 40% </w:t>
      </w:r>
      <w:r w:rsidRPr="009C1CCC">
        <w:rPr>
          <w:rFonts w:ascii="Calibri" w:hAnsi="Calibri" w:cs="Calibri"/>
          <w:color w:val="000000"/>
          <w:sz w:val="22"/>
          <w:szCs w:val="22"/>
        </w:rPr>
        <w:t xml:space="preserve">dell’importo dell’appalto, </w:t>
      </w:r>
      <w:r w:rsidRPr="009C1CCC">
        <w:rPr>
          <w:rFonts w:ascii="Calibri" w:hAnsi="Calibri" w:cs="Calibri"/>
          <w:b/>
          <w:bCs/>
          <w:color w:val="000000"/>
          <w:sz w:val="22"/>
          <w:szCs w:val="22"/>
        </w:rPr>
        <w:t>nelle more di una complessiva revisione del codice dei contratti pubblici</w:t>
      </w:r>
      <w:r w:rsidRPr="009C1CCC">
        <w:rPr>
          <w:rFonts w:ascii="Calibri" w:hAnsi="Calibri" w:cs="Calibri"/>
          <w:color w:val="000000"/>
          <w:sz w:val="22"/>
          <w:szCs w:val="22"/>
        </w:rPr>
        <w:t>.</w:t>
      </w:r>
    </w:p>
    <w:p w14:paraId="67FA2B1D" w14:textId="77777777" w:rsidR="00BE5974" w:rsidRPr="009C1CCC" w:rsidRDefault="00BE5974" w:rsidP="00BE5974">
      <w:pPr>
        <w:autoSpaceDE w:val="0"/>
        <w:autoSpaceDN w:val="0"/>
        <w:adjustRightInd w:val="0"/>
        <w:jc w:val="both"/>
        <w:rPr>
          <w:rFonts w:ascii="Calibri" w:hAnsi="Calibri" w:cs="Calibri"/>
          <w:color w:val="000000"/>
          <w:sz w:val="22"/>
          <w:szCs w:val="22"/>
        </w:rPr>
      </w:pPr>
    </w:p>
    <w:p w14:paraId="0354E708" w14:textId="77777777" w:rsidR="00BE5974" w:rsidRPr="009C1CCC" w:rsidRDefault="00BE5974" w:rsidP="00BE5974">
      <w:pPr>
        <w:numPr>
          <w:ilvl w:val="0"/>
          <w:numId w:val="26"/>
        </w:numPr>
        <w:autoSpaceDE w:val="0"/>
        <w:autoSpaceDN w:val="0"/>
        <w:adjustRightInd w:val="0"/>
        <w:jc w:val="both"/>
        <w:rPr>
          <w:rFonts w:ascii="Calibri" w:hAnsi="Calibri" w:cs="Calibri"/>
          <w:b/>
          <w:bCs/>
          <w:sz w:val="22"/>
          <w:szCs w:val="22"/>
        </w:rPr>
      </w:pPr>
      <w:r w:rsidRPr="009C1CCC">
        <w:rPr>
          <w:rFonts w:ascii="Calibri" w:hAnsi="Calibri" w:cs="Calibri"/>
          <w:b/>
          <w:bCs/>
          <w:sz w:val="22"/>
          <w:szCs w:val="22"/>
        </w:rPr>
        <w:t>Il TAR MARCHE e limite del 30% al subappalto</w:t>
      </w:r>
    </w:p>
    <w:p w14:paraId="6B2FDC2B" w14:textId="77777777" w:rsidR="00BE5974" w:rsidRPr="009C1CCC" w:rsidRDefault="00BE5974" w:rsidP="00BE5974">
      <w:pPr>
        <w:autoSpaceDE w:val="0"/>
        <w:autoSpaceDN w:val="0"/>
        <w:adjustRightInd w:val="0"/>
        <w:ind w:left="720"/>
        <w:jc w:val="both"/>
        <w:rPr>
          <w:rFonts w:ascii="Calibri" w:hAnsi="Calibri" w:cs="Calibri"/>
          <w:b/>
          <w:bCs/>
          <w:sz w:val="22"/>
          <w:szCs w:val="22"/>
        </w:rPr>
      </w:pPr>
    </w:p>
    <w:p w14:paraId="261E5BA8" w14:textId="77777777" w:rsidR="00BE5974" w:rsidRPr="009C1CCC" w:rsidRDefault="00BE5974" w:rsidP="00BE5974">
      <w:pPr>
        <w:autoSpaceDE w:val="0"/>
        <w:autoSpaceDN w:val="0"/>
        <w:adjustRightInd w:val="0"/>
        <w:jc w:val="both"/>
        <w:rPr>
          <w:rFonts w:ascii="Calibri" w:hAnsi="Calibri" w:cs="Calibri"/>
          <w:b/>
          <w:bCs/>
          <w:color w:val="000000"/>
          <w:sz w:val="22"/>
          <w:szCs w:val="22"/>
        </w:rPr>
      </w:pPr>
      <w:r w:rsidRPr="009C1CCC">
        <w:rPr>
          <w:rFonts w:ascii="Calibri" w:hAnsi="Calibri" w:cs="Calibri"/>
          <w:color w:val="000000"/>
          <w:sz w:val="22"/>
          <w:szCs w:val="22"/>
        </w:rPr>
        <w:t xml:space="preserve">Sulla compatibilità dell’ordinario limite nazionale del 30% al subappalto, è intervenuto invece il </w:t>
      </w:r>
      <w:r w:rsidRPr="009C1CCC">
        <w:rPr>
          <w:rFonts w:ascii="Calibri" w:hAnsi="Calibri" w:cs="Calibri"/>
          <w:b/>
          <w:bCs/>
          <w:color w:val="000000"/>
          <w:sz w:val="22"/>
          <w:szCs w:val="22"/>
        </w:rPr>
        <w:t>TAR Marche</w:t>
      </w:r>
      <w:r w:rsidRPr="009C1CCC">
        <w:rPr>
          <w:rFonts w:ascii="Calibri" w:hAnsi="Calibri" w:cs="Calibri"/>
          <w:color w:val="000000"/>
          <w:sz w:val="22"/>
          <w:szCs w:val="22"/>
        </w:rPr>
        <w:t xml:space="preserve">, con la sentenza del 23 aprile 2020, n. 59, che ha </w:t>
      </w:r>
      <w:r w:rsidRPr="009C1CCC">
        <w:rPr>
          <w:rFonts w:ascii="Calibri" w:hAnsi="Calibri" w:cs="Calibri"/>
          <w:b/>
          <w:bCs/>
          <w:color w:val="000000"/>
          <w:sz w:val="22"/>
          <w:szCs w:val="22"/>
        </w:rPr>
        <w:t>analizzato un parere reso in data 17 dicembre 2019 dall’A.N.A.C.</w:t>
      </w:r>
    </w:p>
    <w:p w14:paraId="75AEF426" w14:textId="77777777" w:rsidR="00BE5974" w:rsidRPr="009C1CCC" w:rsidRDefault="00BE5974" w:rsidP="00BE5974">
      <w:pPr>
        <w:autoSpaceDE w:val="0"/>
        <w:autoSpaceDN w:val="0"/>
        <w:adjustRightInd w:val="0"/>
        <w:jc w:val="both"/>
        <w:rPr>
          <w:rFonts w:ascii="Calibri" w:hAnsi="Calibri" w:cs="Calibri"/>
          <w:b/>
          <w:bCs/>
          <w:color w:val="000000"/>
          <w:sz w:val="22"/>
          <w:szCs w:val="22"/>
        </w:rPr>
      </w:pPr>
    </w:p>
    <w:p w14:paraId="53D957E1" w14:textId="77777777" w:rsidR="00BE5974" w:rsidRPr="009C1CCC" w:rsidRDefault="00BE5974" w:rsidP="00BE5974">
      <w:pPr>
        <w:autoSpaceDE w:val="0"/>
        <w:autoSpaceDN w:val="0"/>
        <w:adjustRightInd w:val="0"/>
        <w:jc w:val="both"/>
        <w:rPr>
          <w:rFonts w:ascii="Calibri" w:hAnsi="Calibri" w:cs="Calibri"/>
          <w:color w:val="000000"/>
          <w:sz w:val="22"/>
          <w:szCs w:val="22"/>
        </w:rPr>
      </w:pPr>
      <w:r w:rsidRPr="009C1CCC">
        <w:rPr>
          <w:rFonts w:ascii="Calibri" w:hAnsi="Calibri" w:cs="Calibri"/>
          <w:color w:val="000000"/>
          <w:sz w:val="22"/>
          <w:szCs w:val="22"/>
        </w:rPr>
        <w:t xml:space="preserve">Il </w:t>
      </w:r>
      <w:r w:rsidRPr="009C1CCC">
        <w:rPr>
          <w:rFonts w:ascii="Calibri" w:hAnsi="Calibri" w:cs="Calibri"/>
          <w:b/>
          <w:bCs/>
          <w:color w:val="000000"/>
          <w:sz w:val="22"/>
          <w:szCs w:val="22"/>
        </w:rPr>
        <w:t xml:space="preserve">TAR, </w:t>
      </w:r>
      <w:r w:rsidRPr="009C1CCC">
        <w:rPr>
          <w:rFonts w:ascii="Calibri" w:hAnsi="Calibri" w:cs="Calibri"/>
          <w:color w:val="000000"/>
          <w:sz w:val="22"/>
          <w:szCs w:val="22"/>
        </w:rPr>
        <w:t>invocando</w:t>
      </w:r>
      <w:r w:rsidRPr="009C1CCC">
        <w:rPr>
          <w:rFonts w:ascii="Calibri" w:hAnsi="Calibri" w:cs="Calibri"/>
          <w:b/>
          <w:bCs/>
          <w:color w:val="000000"/>
          <w:sz w:val="22"/>
          <w:szCs w:val="22"/>
        </w:rPr>
        <w:t xml:space="preserve"> </w:t>
      </w:r>
      <w:r w:rsidRPr="009C1CCC">
        <w:rPr>
          <w:rFonts w:ascii="Calibri" w:hAnsi="Calibri" w:cs="Calibri"/>
          <w:color w:val="000000"/>
          <w:sz w:val="22"/>
          <w:szCs w:val="22"/>
        </w:rPr>
        <w:t xml:space="preserve">il principio di primazia del diritto comunitario di cui alla sentenza n. 170 del 1984 della Corte Costituzionale, </w:t>
      </w:r>
      <w:r w:rsidRPr="009C1CCC">
        <w:rPr>
          <w:rFonts w:ascii="Calibri" w:hAnsi="Calibri" w:cs="Calibri"/>
          <w:b/>
          <w:bCs/>
          <w:color w:val="000000"/>
          <w:sz w:val="22"/>
          <w:szCs w:val="22"/>
        </w:rPr>
        <w:t xml:space="preserve">non condivide la posizione dell’ANAC nella parte in cui si sostiene che </w:t>
      </w:r>
      <w:r w:rsidRPr="009C1CCC">
        <w:rPr>
          <w:rFonts w:ascii="Calibri" w:hAnsi="Calibri" w:cs="Calibri"/>
          <w:color w:val="000000"/>
          <w:sz w:val="22"/>
          <w:szCs w:val="22"/>
        </w:rPr>
        <w:t xml:space="preserve">non sussiste </w:t>
      </w:r>
      <w:r w:rsidRPr="009C1CCC">
        <w:rPr>
          <w:rFonts w:ascii="Calibri" w:hAnsi="Calibri" w:cs="Calibri"/>
          <w:b/>
          <w:bCs/>
          <w:color w:val="000000"/>
          <w:sz w:val="22"/>
          <w:szCs w:val="22"/>
        </w:rPr>
        <w:t>l’obbligo dell’amministrazione di conformarsi al diritto comunitario</w:t>
      </w:r>
      <w:r w:rsidRPr="009C1CCC">
        <w:rPr>
          <w:rFonts w:ascii="Calibri" w:hAnsi="Calibri" w:cs="Calibri"/>
          <w:color w:val="000000"/>
          <w:sz w:val="22"/>
          <w:szCs w:val="22"/>
        </w:rPr>
        <w:t>, laddove le clausole del bando recassero una specifica previsione confliggente con tale pronuncia e l’aggiudicatario l’abbia implicitamente accettate, senza contestarle al momento della partecipazione.</w:t>
      </w:r>
    </w:p>
    <w:p w14:paraId="540D392A" w14:textId="77777777" w:rsidR="00BE5974" w:rsidRPr="009C1CCC" w:rsidRDefault="00BE5974" w:rsidP="00BE5974">
      <w:pPr>
        <w:autoSpaceDE w:val="0"/>
        <w:autoSpaceDN w:val="0"/>
        <w:adjustRightInd w:val="0"/>
        <w:jc w:val="both"/>
        <w:rPr>
          <w:rFonts w:ascii="Calibri" w:hAnsi="Calibri" w:cs="Calibri"/>
          <w:color w:val="000000"/>
          <w:sz w:val="22"/>
          <w:szCs w:val="22"/>
        </w:rPr>
      </w:pPr>
    </w:p>
    <w:p w14:paraId="1A56E5B7" w14:textId="77777777" w:rsidR="00BE5974" w:rsidRPr="009C1CCC" w:rsidRDefault="00BE5974" w:rsidP="00BE5974">
      <w:pPr>
        <w:autoSpaceDE w:val="0"/>
        <w:autoSpaceDN w:val="0"/>
        <w:adjustRightInd w:val="0"/>
        <w:jc w:val="both"/>
        <w:rPr>
          <w:rFonts w:ascii="Calibri" w:hAnsi="Calibri" w:cs="Calibri"/>
          <w:color w:val="000000"/>
          <w:sz w:val="22"/>
          <w:szCs w:val="22"/>
        </w:rPr>
      </w:pPr>
      <w:r w:rsidRPr="009C1CCC">
        <w:rPr>
          <w:rFonts w:ascii="Calibri" w:hAnsi="Calibri" w:cs="Calibri"/>
          <w:color w:val="000000"/>
          <w:sz w:val="22"/>
          <w:szCs w:val="22"/>
        </w:rPr>
        <w:t xml:space="preserve">Pertanto, il TAR Marche (invero con una posizione non del tutto coincidente con quella del citato TAR Lazio) ritiene che, </w:t>
      </w:r>
      <w:r w:rsidRPr="009C1CCC">
        <w:rPr>
          <w:rFonts w:ascii="Calibri" w:hAnsi="Calibri" w:cs="Calibri"/>
          <w:b/>
          <w:bCs/>
          <w:color w:val="000000"/>
          <w:sz w:val="22"/>
          <w:szCs w:val="22"/>
        </w:rPr>
        <w:t>a seguito della pronuncia della CGUE, non esiste più un limite invalicabile alla quota subappaltabile</w:t>
      </w:r>
      <w:r w:rsidRPr="009C1CCC">
        <w:rPr>
          <w:rFonts w:ascii="Calibri" w:hAnsi="Calibri" w:cs="Calibri"/>
          <w:color w:val="000000"/>
          <w:sz w:val="22"/>
          <w:szCs w:val="22"/>
        </w:rPr>
        <w:t xml:space="preserve">, per cui l’autorizzazione deve essere concessa anche per una quota superiore al 30% (ad operatore qualificato), </w:t>
      </w:r>
      <w:r w:rsidRPr="009C1CCC">
        <w:rPr>
          <w:rFonts w:ascii="Calibri" w:hAnsi="Calibri" w:cs="Calibri"/>
          <w:b/>
          <w:bCs/>
          <w:color w:val="000000"/>
          <w:sz w:val="22"/>
          <w:szCs w:val="22"/>
        </w:rPr>
        <w:t>salvo motivata valutazione caso per caso della stazione appaltante</w:t>
      </w:r>
      <w:r w:rsidRPr="009C1CCC">
        <w:rPr>
          <w:rFonts w:ascii="Calibri" w:hAnsi="Calibri" w:cs="Calibri"/>
          <w:color w:val="000000"/>
          <w:sz w:val="22"/>
          <w:szCs w:val="22"/>
        </w:rPr>
        <w:t>.</w:t>
      </w:r>
    </w:p>
    <w:p w14:paraId="12B74EB6" w14:textId="77777777" w:rsidR="00BE5974" w:rsidRPr="009C1CCC" w:rsidRDefault="00BE5974" w:rsidP="00BE5974">
      <w:pPr>
        <w:autoSpaceDE w:val="0"/>
        <w:autoSpaceDN w:val="0"/>
        <w:adjustRightInd w:val="0"/>
        <w:jc w:val="both"/>
        <w:rPr>
          <w:rFonts w:ascii="Calibri" w:hAnsi="Calibri" w:cs="Calibri"/>
          <w:color w:val="000000"/>
          <w:sz w:val="22"/>
          <w:szCs w:val="22"/>
        </w:rPr>
      </w:pPr>
    </w:p>
    <w:p w14:paraId="1D535C8F" w14:textId="77777777" w:rsidR="00BE5974" w:rsidRPr="009C1CCC" w:rsidRDefault="00BE5974" w:rsidP="00BE5974">
      <w:pPr>
        <w:numPr>
          <w:ilvl w:val="0"/>
          <w:numId w:val="26"/>
        </w:numPr>
        <w:autoSpaceDE w:val="0"/>
        <w:autoSpaceDN w:val="0"/>
        <w:adjustRightInd w:val="0"/>
        <w:jc w:val="both"/>
        <w:rPr>
          <w:rFonts w:ascii="Calibri" w:hAnsi="Calibri" w:cs="Calibri"/>
          <w:b/>
          <w:bCs/>
          <w:sz w:val="22"/>
          <w:szCs w:val="22"/>
        </w:rPr>
      </w:pPr>
      <w:r w:rsidRPr="009C1CCC">
        <w:rPr>
          <w:rFonts w:ascii="Calibri" w:hAnsi="Calibri" w:cs="Calibri"/>
          <w:b/>
          <w:bCs/>
          <w:sz w:val="22"/>
          <w:szCs w:val="22"/>
        </w:rPr>
        <w:t>Il Cottimo</w:t>
      </w:r>
    </w:p>
    <w:p w14:paraId="22129585" w14:textId="77777777" w:rsidR="00BE5974" w:rsidRPr="009C1CCC" w:rsidRDefault="00BE5974" w:rsidP="00BE5974">
      <w:pPr>
        <w:autoSpaceDE w:val="0"/>
        <w:autoSpaceDN w:val="0"/>
        <w:adjustRightInd w:val="0"/>
        <w:ind w:left="720"/>
        <w:jc w:val="both"/>
        <w:rPr>
          <w:rFonts w:ascii="Calibri" w:hAnsi="Calibri" w:cs="Calibri"/>
          <w:b/>
          <w:bCs/>
          <w:sz w:val="22"/>
          <w:szCs w:val="22"/>
        </w:rPr>
      </w:pPr>
    </w:p>
    <w:p w14:paraId="3DFED24E" w14:textId="77777777" w:rsidR="00BE5974" w:rsidRPr="009C1CCC" w:rsidRDefault="00BE5974" w:rsidP="00BE5974">
      <w:pPr>
        <w:autoSpaceDE w:val="0"/>
        <w:autoSpaceDN w:val="0"/>
        <w:adjustRightInd w:val="0"/>
        <w:jc w:val="both"/>
        <w:rPr>
          <w:rFonts w:ascii="Calibri" w:hAnsi="Calibri" w:cs="Calibri"/>
          <w:color w:val="000000"/>
          <w:sz w:val="22"/>
          <w:szCs w:val="22"/>
        </w:rPr>
      </w:pPr>
      <w:r w:rsidRPr="009C1CCC">
        <w:rPr>
          <w:rFonts w:ascii="Calibri" w:hAnsi="Calibri" w:cs="Calibri"/>
          <w:color w:val="000000"/>
          <w:sz w:val="22"/>
          <w:szCs w:val="22"/>
        </w:rPr>
        <w:t xml:space="preserve">Il sopra citato TAR Marche (Sez. I, </w:t>
      </w:r>
      <w:proofErr w:type="spellStart"/>
      <w:r w:rsidRPr="009C1CCC">
        <w:rPr>
          <w:rFonts w:ascii="Calibri" w:hAnsi="Calibri" w:cs="Calibri"/>
          <w:color w:val="000000"/>
          <w:sz w:val="22"/>
          <w:szCs w:val="22"/>
        </w:rPr>
        <w:t>sent</w:t>
      </w:r>
      <w:proofErr w:type="spellEnd"/>
      <w:r w:rsidRPr="009C1CCC">
        <w:rPr>
          <w:rFonts w:ascii="Calibri" w:hAnsi="Calibri" w:cs="Calibri"/>
          <w:color w:val="000000"/>
          <w:sz w:val="22"/>
          <w:szCs w:val="22"/>
        </w:rPr>
        <w:t>. 23 aprile 2020, n. 59) è altresì intervenuto sull’autorizzazione ad eseguire opere e lavori in regime di cottimo.</w:t>
      </w:r>
    </w:p>
    <w:p w14:paraId="73D6BCA5" w14:textId="77777777" w:rsidR="00BE5974" w:rsidRPr="009C1CCC" w:rsidRDefault="00BE5974" w:rsidP="00BE5974">
      <w:pPr>
        <w:autoSpaceDE w:val="0"/>
        <w:autoSpaceDN w:val="0"/>
        <w:adjustRightInd w:val="0"/>
        <w:jc w:val="both"/>
        <w:rPr>
          <w:rFonts w:ascii="Calibri" w:hAnsi="Calibri" w:cs="Calibri"/>
          <w:color w:val="000000"/>
          <w:sz w:val="22"/>
          <w:szCs w:val="22"/>
        </w:rPr>
      </w:pPr>
    </w:p>
    <w:p w14:paraId="100FFCA2" w14:textId="77777777" w:rsidR="00BE5974" w:rsidRPr="009C1CCC" w:rsidRDefault="00BE5974" w:rsidP="00BE5974">
      <w:pPr>
        <w:autoSpaceDE w:val="0"/>
        <w:autoSpaceDN w:val="0"/>
        <w:adjustRightInd w:val="0"/>
        <w:jc w:val="both"/>
        <w:rPr>
          <w:rFonts w:ascii="Calibri" w:hAnsi="Calibri" w:cs="Calibri"/>
          <w:color w:val="000000"/>
          <w:sz w:val="22"/>
          <w:szCs w:val="22"/>
        </w:rPr>
      </w:pPr>
      <w:r w:rsidRPr="009C1CCC">
        <w:rPr>
          <w:rFonts w:ascii="Calibri" w:hAnsi="Calibri" w:cs="Calibri"/>
          <w:color w:val="000000"/>
          <w:sz w:val="22"/>
          <w:szCs w:val="22"/>
        </w:rPr>
        <w:t xml:space="preserve">A tale proposito il TAR ritiene che il cottimista deve essere qualificato per i lavori che si appresta ad eseguire, ma - </w:t>
      </w:r>
      <w:r w:rsidRPr="009C1CCC">
        <w:rPr>
          <w:rFonts w:ascii="Calibri" w:hAnsi="Calibri" w:cs="Calibri"/>
          <w:b/>
          <w:bCs/>
          <w:color w:val="000000"/>
          <w:sz w:val="22"/>
          <w:szCs w:val="22"/>
        </w:rPr>
        <w:t xml:space="preserve">ai fini dell’autorizzazione e, quindi, dell’imputazione di tale sub-affidamento nella quota di subappalto disponibile </w:t>
      </w:r>
      <w:r w:rsidRPr="009C1CCC">
        <w:rPr>
          <w:rFonts w:ascii="Calibri" w:hAnsi="Calibri" w:cs="Calibri"/>
          <w:color w:val="000000"/>
          <w:sz w:val="22"/>
          <w:szCs w:val="22"/>
        </w:rPr>
        <w:t xml:space="preserve">- </w:t>
      </w:r>
      <w:r w:rsidRPr="009C1CCC">
        <w:rPr>
          <w:rFonts w:ascii="Calibri" w:hAnsi="Calibri" w:cs="Calibri"/>
          <w:b/>
          <w:bCs/>
          <w:color w:val="000000"/>
          <w:sz w:val="22"/>
          <w:szCs w:val="22"/>
        </w:rPr>
        <w:t>l’importo è quello previsto come corrispettivo dal contratto di cottimo, e</w:t>
      </w:r>
      <w:r w:rsidRPr="009C1CCC">
        <w:rPr>
          <w:rFonts w:ascii="Calibri" w:hAnsi="Calibri" w:cs="Calibri"/>
          <w:color w:val="000000"/>
          <w:sz w:val="22"/>
          <w:szCs w:val="22"/>
        </w:rPr>
        <w:t xml:space="preserve">, dunque, </w:t>
      </w:r>
      <w:r w:rsidRPr="009C1CCC">
        <w:rPr>
          <w:rFonts w:ascii="Calibri" w:hAnsi="Calibri" w:cs="Calibri"/>
          <w:b/>
          <w:bCs/>
          <w:color w:val="000000"/>
          <w:sz w:val="22"/>
          <w:szCs w:val="22"/>
        </w:rPr>
        <w:t>deve essere calcolato al netto dei mezzi, materiali ed attrezzature a carico dell’appaltatore</w:t>
      </w:r>
      <w:r w:rsidRPr="009C1CCC">
        <w:rPr>
          <w:rFonts w:ascii="Calibri" w:hAnsi="Calibri" w:cs="Calibri"/>
          <w:color w:val="000000"/>
          <w:sz w:val="22"/>
          <w:szCs w:val="22"/>
        </w:rPr>
        <w:t>.</w:t>
      </w:r>
    </w:p>
    <w:p w14:paraId="505B7B89" w14:textId="77777777" w:rsidR="00BE5974" w:rsidRPr="009C1CCC" w:rsidRDefault="00BE5974" w:rsidP="00BE5974">
      <w:pPr>
        <w:autoSpaceDE w:val="0"/>
        <w:autoSpaceDN w:val="0"/>
        <w:adjustRightInd w:val="0"/>
        <w:jc w:val="both"/>
        <w:rPr>
          <w:rFonts w:ascii="Calibri" w:hAnsi="Calibri" w:cs="Calibri"/>
          <w:color w:val="000000"/>
          <w:sz w:val="22"/>
          <w:szCs w:val="22"/>
        </w:rPr>
      </w:pPr>
    </w:p>
    <w:p w14:paraId="609F28CF" w14:textId="77777777" w:rsidR="00BE5974" w:rsidRPr="009C1CCC" w:rsidRDefault="00BE5974" w:rsidP="00BE5974">
      <w:pPr>
        <w:autoSpaceDE w:val="0"/>
        <w:autoSpaceDN w:val="0"/>
        <w:adjustRightInd w:val="0"/>
        <w:jc w:val="both"/>
        <w:rPr>
          <w:rFonts w:ascii="Calibri" w:hAnsi="Calibri" w:cs="Calibri"/>
          <w:color w:val="000000"/>
          <w:sz w:val="22"/>
          <w:szCs w:val="22"/>
        </w:rPr>
      </w:pPr>
      <w:r w:rsidRPr="009C1CCC">
        <w:rPr>
          <w:rFonts w:ascii="Calibri" w:hAnsi="Calibri" w:cs="Calibri"/>
          <w:color w:val="000000"/>
          <w:sz w:val="22"/>
          <w:szCs w:val="22"/>
        </w:rPr>
        <w:t xml:space="preserve">A conferma di ciò, il TAR ricorda che l’art. 3, </w:t>
      </w:r>
      <w:proofErr w:type="spellStart"/>
      <w:r w:rsidRPr="009C1CCC">
        <w:rPr>
          <w:rFonts w:ascii="Calibri" w:hAnsi="Calibri" w:cs="Calibri"/>
          <w:color w:val="000000"/>
          <w:sz w:val="22"/>
          <w:szCs w:val="22"/>
        </w:rPr>
        <w:t>let</w:t>
      </w:r>
      <w:proofErr w:type="spellEnd"/>
      <w:r w:rsidRPr="009C1CCC">
        <w:rPr>
          <w:rFonts w:ascii="Calibri" w:hAnsi="Calibri" w:cs="Calibri"/>
          <w:color w:val="000000"/>
          <w:sz w:val="22"/>
          <w:szCs w:val="22"/>
        </w:rPr>
        <w:t xml:space="preserve">. </w:t>
      </w:r>
      <w:r w:rsidRPr="009C1CCC">
        <w:rPr>
          <w:rFonts w:ascii="Calibri" w:hAnsi="Calibri" w:cs="Calibri"/>
          <w:i/>
          <w:iCs/>
          <w:color w:val="000000"/>
          <w:sz w:val="22"/>
          <w:szCs w:val="22"/>
        </w:rPr>
        <w:t>g-</w:t>
      </w:r>
      <w:proofErr w:type="spellStart"/>
      <w:r w:rsidRPr="009C1CCC">
        <w:rPr>
          <w:rFonts w:ascii="Calibri" w:hAnsi="Calibri" w:cs="Calibri"/>
          <w:i/>
          <w:iCs/>
          <w:color w:val="000000"/>
          <w:sz w:val="22"/>
          <w:szCs w:val="22"/>
        </w:rPr>
        <w:t>undecies</w:t>
      </w:r>
      <w:proofErr w:type="spellEnd"/>
      <w:r w:rsidRPr="009C1CCC">
        <w:rPr>
          <w:rFonts w:ascii="Calibri" w:hAnsi="Calibri" w:cs="Calibri"/>
          <w:i/>
          <w:iCs/>
          <w:color w:val="000000"/>
          <w:sz w:val="22"/>
          <w:szCs w:val="22"/>
        </w:rPr>
        <w:t>)</w:t>
      </w:r>
      <w:r w:rsidRPr="009C1CCC">
        <w:rPr>
          <w:rFonts w:ascii="Calibri" w:hAnsi="Calibri" w:cs="Calibri"/>
          <w:color w:val="000000"/>
          <w:sz w:val="22"/>
          <w:szCs w:val="22"/>
        </w:rPr>
        <w:t xml:space="preserve">, del </w:t>
      </w:r>
      <w:proofErr w:type="spellStart"/>
      <w:r w:rsidRPr="009C1CCC">
        <w:rPr>
          <w:rFonts w:ascii="Calibri" w:hAnsi="Calibri" w:cs="Calibri"/>
          <w:color w:val="000000"/>
          <w:sz w:val="22"/>
          <w:szCs w:val="22"/>
        </w:rPr>
        <w:t>D.Lgs.</w:t>
      </w:r>
      <w:proofErr w:type="spellEnd"/>
      <w:r w:rsidRPr="009C1CCC">
        <w:rPr>
          <w:rFonts w:ascii="Calibri" w:hAnsi="Calibri" w:cs="Calibri"/>
          <w:color w:val="000000"/>
          <w:sz w:val="22"/>
          <w:szCs w:val="22"/>
        </w:rPr>
        <w:t xml:space="preserve"> n. 50/2016, può essere interpretata nel senso che </w:t>
      </w:r>
      <w:r w:rsidRPr="009C1CCC">
        <w:rPr>
          <w:rFonts w:ascii="Calibri" w:hAnsi="Calibri" w:cs="Calibri"/>
          <w:b/>
          <w:bCs/>
          <w:color w:val="000000"/>
          <w:sz w:val="22"/>
          <w:szCs w:val="22"/>
        </w:rPr>
        <w:t xml:space="preserve">il legislatore ha collegato espressamente la capacità tecnico-economica del subappaltatore (sintetizzata nella SOA) all’importo complessivo delle opere </w:t>
      </w:r>
      <w:r w:rsidRPr="009C1CCC">
        <w:rPr>
          <w:rFonts w:ascii="Calibri" w:hAnsi="Calibri" w:cs="Calibri"/>
          <w:color w:val="000000"/>
          <w:sz w:val="22"/>
          <w:szCs w:val="22"/>
        </w:rPr>
        <w:t>che egli è chiamato ad eseguire (il che rispetta il principio secondo cui l’operatore economico può eseguire solo i lavori per i quali è qualificato).</w:t>
      </w:r>
    </w:p>
    <w:p w14:paraId="54ED7892" w14:textId="77777777" w:rsidR="00BE5974" w:rsidRPr="009C1CCC" w:rsidRDefault="00BE5974" w:rsidP="00BE5974">
      <w:pPr>
        <w:autoSpaceDE w:val="0"/>
        <w:autoSpaceDN w:val="0"/>
        <w:adjustRightInd w:val="0"/>
        <w:jc w:val="both"/>
        <w:rPr>
          <w:rFonts w:ascii="Calibri" w:hAnsi="Calibri" w:cs="Calibri"/>
          <w:color w:val="000000"/>
          <w:sz w:val="22"/>
          <w:szCs w:val="22"/>
        </w:rPr>
      </w:pPr>
    </w:p>
    <w:p w14:paraId="35375E0B" w14:textId="77777777" w:rsidR="00BE5974" w:rsidRPr="009C1CCC" w:rsidRDefault="00BE5974" w:rsidP="00BE5974">
      <w:pPr>
        <w:autoSpaceDE w:val="0"/>
        <w:autoSpaceDN w:val="0"/>
        <w:adjustRightInd w:val="0"/>
        <w:jc w:val="both"/>
        <w:rPr>
          <w:rFonts w:ascii="Calibri" w:hAnsi="Calibri" w:cs="Calibri"/>
          <w:color w:val="000000"/>
          <w:sz w:val="22"/>
          <w:szCs w:val="22"/>
        </w:rPr>
      </w:pPr>
      <w:r w:rsidRPr="009C1CCC">
        <w:rPr>
          <w:rFonts w:ascii="Calibri" w:hAnsi="Calibri" w:cs="Calibri"/>
          <w:color w:val="000000"/>
          <w:sz w:val="22"/>
          <w:szCs w:val="22"/>
        </w:rPr>
        <w:t xml:space="preserve">Diverso è, però, il discorso che concerne </w:t>
      </w:r>
      <w:r w:rsidRPr="009C1CCC">
        <w:rPr>
          <w:rFonts w:ascii="Calibri" w:hAnsi="Calibri" w:cs="Calibri"/>
          <w:b/>
          <w:bCs/>
          <w:color w:val="000000"/>
          <w:sz w:val="22"/>
          <w:szCs w:val="22"/>
        </w:rPr>
        <w:t>le modalità di calcolo dell’incidenza del contratto di subappalto/cottimo sulla quota massima subappaltabile</w:t>
      </w:r>
      <w:r w:rsidRPr="009C1CCC">
        <w:rPr>
          <w:rFonts w:ascii="Calibri" w:hAnsi="Calibri" w:cs="Calibri"/>
          <w:color w:val="000000"/>
          <w:sz w:val="22"/>
          <w:szCs w:val="22"/>
        </w:rPr>
        <w:t>.</w:t>
      </w:r>
    </w:p>
    <w:p w14:paraId="281FA024" w14:textId="77777777" w:rsidR="00BE5974" w:rsidRPr="009C1CCC" w:rsidRDefault="00BE5974" w:rsidP="00BE5974">
      <w:pPr>
        <w:autoSpaceDE w:val="0"/>
        <w:autoSpaceDN w:val="0"/>
        <w:adjustRightInd w:val="0"/>
        <w:jc w:val="both"/>
        <w:rPr>
          <w:rFonts w:ascii="Calibri" w:hAnsi="Calibri" w:cs="Calibri"/>
          <w:color w:val="000000"/>
          <w:sz w:val="22"/>
          <w:szCs w:val="22"/>
        </w:rPr>
      </w:pPr>
    </w:p>
    <w:p w14:paraId="604F5E3E" w14:textId="77777777" w:rsidR="00BE5974" w:rsidRPr="009C1CCC" w:rsidRDefault="00BE5974" w:rsidP="00BE5974">
      <w:pPr>
        <w:autoSpaceDE w:val="0"/>
        <w:autoSpaceDN w:val="0"/>
        <w:adjustRightInd w:val="0"/>
        <w:jc w:val="both"/>
        <w:rPr>
          <w:rFonts w:ascii="Calibri" w:hAnsi="Calibri" w:cs="Calibri"/>
          <w:b/>
          <w:bCs/>
          <w:color w:val="000000"/>
          <w:sz w:val="22"/>
          <w:szCs w:val="22"/>
        </w:rPr>
      </w:pPr>
      <w:r w:rsidRPr="009C1CCC">
        <w:rPr>
          <w:rFonts w:ascii="Calibri" w:hAnsi="Calibri" w:cs="Calibri"/>
          <w:color w:val="000000"/>
          <w:sz w:val="22"/>
          <w:szCs w:val="22"/>
        </w:rPr>
        <w:t>Ad avviso del collegio giudicante, infatti, il legislatore ha preso in esame l’</w:t>
      </w:r>
      <w:r w:rsidRPr="009C1CCC">
        <w:rPr>
          <w:rFonts w:ascii="Calibri" w:hAnsi="Calibri" w:cs="Calibri"/>
          <w:i/>
          <w:iCs/>
          <w:color w:val="000000"/>
          <w:sz w:val="22"/>
          <w:szCs w:val="22"/>
        </w:rPr>
        <w:t xml:space="preserve">id </w:t>
      </w:r>
      <w:proofErr w:type="spellStart"/>
      <w:r w:rsidRPr="009C1CCC">
        <w:rPr>
          <w:rFonts w:ascii="Calibri" w:hAnsi="Calibri" w:cs="Calibri"/>
          <w:i/>
          <w:iCs/>
          <w:color w:val="000000"/>
          <w:sz w:val="22"/>
          <w:szCs w:val="22"/>
        </w:rPr>
        <w:t>quod</w:t>
      </w:r>
      <w:proofErr w:type="spellEnd"/>
      <w:r w:rsidRPr="009C1CCC">
        <w:rPr>
          <w:rFonts w:ascii="Calibri" w:hAnsi="Calibri" w:cs="Calibri"/>
          <w:i/>
          <w:iCs/>
          <w:color w:val="000000"/>
          <w:sz w:val="22"/>
          <w:szCs w:val="22"/>
        </w:rPr>
        <w:t xml:space="preserve"> </w:t>
      </w:r>
      <w:proofErr w:type="spellStart"/>
      <w:r w:rsidRPr="009C1CCC">
        <w:rPr>
          <w:rFonts w:ascii="Calibri" w:hAnsi="Calibri" w:cs="Calibri"/>
          <w:i/>
          <w:iCs/>
          <w:color w:val="000000"/>
          <w:sz w:val="22"/>
          <w:szCs w:val="22"/>
        </w:rPr>
        <w:t>plerumque</w:t>
      </w:r>
      <w:proofErr w:type="spellEnd"/>
      <w:r w:rsidRPr="009C1CCC">
        <w:rPr>
          <w:rFonts w:ascii="Calibri" w:hAnsi="Calibri" w:cs="Calibri"/>
          <w:i/>
          <w:iCs/>
          <w:color w:val="000000"/>
          <w:sz w:val="22"/>
          <w:szCs w:val="22"/>
        </w:rPr>
        <w:t xml:space="preserve"> </w:t>
      </w:r>
      <w:proofErr w:type="spellStart"/>
      <w:r w:rsidRPr="009C1CCC">
        <w:rPr>
          <w:rFonts w:ascii="Calibri" w:hAnsi="Calibri" w:cs="Calibri"/>
          <w:i/>
          <w:iCs/>
          <w:color w:val="000000"/>
          <w:sz w:val="22"/>
          <w:szCs w:val="22"/>
        </w:rPr>
        <w:t>accidit</w:t>
      </w:r>
      <w:proofErr w:type="spellEnd"/>
      <w:r w:rsidRPr="009C1CCC">
        <w:rPr>
          <w:rFonts w:ascii="Calibri" w:hAnsi="Calibri" w:cs="Calibri"/>
          <w:color w:val="000000"/>
          <w:sz w:val="22"/>
          <w:szCs w:val="22"/>
        </w:rPr>
        <w:t xml:space="preserve">, rilevando che </w:t>
      </w:r>
      <w:r w:rsidRPr="009C1CCC">
        <w:rPr>
          <w:rFonts w:ascii="Calibri" w:hAnsi="Calibri" w:cs="Calibri"/>
          <w:b/>
          <w:bCs/>
          <w:color w:val="000000"/>
          <w:sz w:val="22"/>
          <w:szCs w:val="22"/>
        </w:rPr>
        <w:t xml:space="preserve">l’importo del contratto di subappalto/cottimo potrebbe essere anche inferiore a quello delle opere </w:t>
      </w:r>
      <w:r w:rsidRPr="009C1CCC">
        <w:rPr>
          <w:rFonts w:ascii="Calibri" w:hAnsi="Calibri" w:cs="Calibri"/>
          <w:color w:val="000000"/>
          <w:sz w:val="22"/>
          <w:szCs w:val="22"/>
        </w:rPr>
        <w:t xml:space="preserve">(materiali + posa in opera) </w:t>
      </w:r>
      <w:r w:rsidRPr="009C1CCC">
        <w:rPr>
          <w:rFonts w:ascii="Calibri" w:hAnsi="Calibri" w:cs="Calibri"/>
          <w:b/>
          <w:bCs/>
          <w:color w:val="000000"/>
          <w:sz w:val="22"/>
          <w:szCs w:val="22"/>
        </w:rPr>
        <w:t xml:space="preserve">che il subappaltatore/cottimista </w:t>
      </w:r>
      <w:r w:rsidRPr="009C1CCC">
        <w:rPr>
          <w:rFonts w:ascii="Calibri" w:hAnsi="Calibri" w:cs="Calibri"/>
          <w:color w:val="000000"/>
          <w:sz w:val="22"/>
          <w:szCs w:val="22"/>
        </w:rPr>
        <w:t xml:space="preserve">è chiamato ad eseguire, poiché nel cottimo tale importo </w:t>
      </w:r>
      <w:r w:rsidRPr="009C1CCC">
        <w:rPr>
          <w:rFonts w:ascii="Calibri" w:hAnsi="Calibri" w:cs="Calibri"/>
          <w:b/>
          <w:bCs/>
          <w:color w:val="000000"/>
          <w:sz w:val="22"/>
          <w:szCs w:val="22"/>
        </w:rPr>
        <w:t>potrebbe non includere in tutto in parte i materiali e le attrezzature necessari all’esecuzione dei lavori, forniti direttamente dall’appaltatore.</w:t>
      </w:r>
    </w:p>
    <w:p w14:paraId="5FDF5035" w14:textId="77777777" w:rsidR="00BE5974" w:rsidRPr="009C1CCC" w:rsidRDefault="00BE5974" w:rsidP="00BE5974">
      <w:pPr>
        <w:autoSpaceDE w:val="0"/>
        <w:autoSpaceDN w:val="0"/>
        <w:adjustRightInd w:val="0"/>
        <w:jc w:val="both"/>
        <w:rPr>
          <w:rFonts w:ascii="Calibri" w:hAnsi="Calibri" w:cs="Calibri"/>
          <w:b/>
          <w:bCs/>
          <w:color w:val="000000"/>
          <w:sz w:val="22"/>
          <w:szCs w:val="22"/>
        </w:rPr>
      </w:pPr>
    </w:p>
    <w:p w14:paraId="1514D95F" w14:textId="77777777" w:rsidR="00BE5974" w:rsidRPr="009C1CCC" w:rsidRDefault="00BE5974" w:rsidP="00BE5974">
      <w:pPr>
        <w:autoSpaceDE w:val="0"/>
        <w:autoSpaceDN w:val="0"/>
        <w:adjustRightInd w:val="0"/>
        <w:jc w:val="both"/>
        <w:rPr>
          <w:rFonts w:ascii="Calibri" w:hAnsi="Calibri" w:cs="Calibri"/>
          <w:color w:val="000000"/>
          <w:sz w:val="22"/>
          <w:szCs w:val="22"/>
        </w:rPr>
      </w:pPr>
      <w:r w:rsidRPr="009C1CCC">
        <w:rPr>
          <w:rFonts w:ascii="Calibri" w:hAnsi="Calibri" w:cs="Calibri"/>
          <w:color w:val="000000"/>
          <w:sz w:val="22"/>
          <w:szCs w:val="22"/>
        </w:rPr>
        <w:t xml:space="preserve">Sul punto, sempre a parere del TAR, </w:t>
      </w:r>
      <w:r w:rsidRPr="009C1CCC">
        <w:rPr>
          <w:rFonts w:ascii="Calibri" w:hAnsi="Calibri" w:cs="Calibri"/>
          <w:b/>
          <w:bCs/>
          <w:color w:val="000000"/>
          <w:sz w:val="22"/>
          <w:szCs w:val="22"/>
        </w:rPr>
        <w:t xml:space="preserve">non è decisivo in senso contrario neppure il parere del Ministero delle Infrastrutture e dei Trasporti n. 161 del 16 gennaio 2018 </w:t>
      </w:r>
      <w:r w:rsidRPr="009C1CCC">
        <w:rPr>
          <w:rFonts w:ascii="Calibri" w:hAnsi="Calibri" w:cs="Calibri"/>
          <w:color w:val="000000"/>
          <w:sz w:val="22"/>
          <w:szCs w:val="22"/>
        </w:rPr>
        <w:t>(documento allegato alla memoria di costituzione della committente), visto che lo stesso non ha alcun valore normativo.</w:t>
      </w:r>
    </w:p>
    <w:p w14:paraId="5BE3DC5D" w14:textId="77777777" w:rsidR="00BE5974" w:rsidRPr="009C1CCC" w:rsidRDefault="00BE5974" w:rsidP="00BE5974">
      <w:pPr>
        <w:autoSpaceDE w:val="0"/>
        <w:autoSpaceDN w:val="0"/>
        <w:adjustRightInd w:val="0"/>
        <w:jc w:val="both"/>
        <w:rPr>
          <w:rFonts w:ascii="Calibri" w:hAnsi="Calibri" w:cs="Calibri"/>
          <w:color w:val="000000"/>
          <w:sz w:val="22"/>
          <w:szCs w:val="22"/>
        </w:rPr>
      </w:pPr>
    </w:p>
    <w:p w14:paraId="4F89C73B" w14:textId="77777777" w:rsidR="00BE5974" w:rsidRPr="009C1CCC" w:rsidRDefault="00BE5974" w:rsidP="00BE5974">
      <w:pPr>
        <w:autoSpaceDE w:val="0"/>
        <w:autoSpaceDN w:val="0"/>
        <w:adjustRightInd w:val="0"/>
        <w:jc w:val="both"/>
        <w:rPr>
          <w:rFonts w:ascii="Calibri" w:hAnsi="Calibri" w:cs="Calibri"/>
          <w:color w:val="000000"/>
          <w:sz w:val="22"/>
          <w:szCs w:val="22"/>
        </w:rPr>
      </w:pPr>
      <w:r w:rsidRPr="009C1CCC">
        <w:rPr>
          <w:rFonts w:ascii="Calibri" w:hAnsi="Calibri" w:cs="Calibri"/>
          <w:color w:val="000000"/>
          <w:sz w:val="22"/>
          <w:szCs w:val="22"/>
        </w:rPr>
        <w:t xml:space="preserve">Resta invece fermo, per il TAR Marche, che </w:t>
      </w:r>
      <w:r w:rsidRPr="009C1CCC">
        <w:rPr>
          <w:rFonts w:ascii="Calibri" w:hAnsi="Calibri" w:cs="Calibri"/>
          <w:b/>
          <w:bCs/>
          <w:color w:val="000000"/>
          <w:sz w:val="22"/>
          <w:szCs w:val="22"/>
        </w:rPr>
        <w:t xml:space="preserve">il subappaltatore/cottimista deve possedere la qualificazione SOA </w:t>
      </w:r>
      <w:r w:rsidRPr="009C1CCC">
        <w:rPr>
          <w:rFonts w:ascii="Calibri" w:hAnsi="Calibri" w:cs="Calibri"/>
          <w:color w:val="000000"/>
          <w:sz w:val="22"/>
          <w:szCs w:val="22"/>
        </w:rPr>
        <w:t xml:space="preserve">in una classifica di importo almeno </w:t>
      </w:r>
      <w:r w:rsidRPr="009C1CCC">
        <w:rPr>
          <w:rFonts w:ascii="Calibri" w:hAnsi="Calibri" w:cs="Calibri"/>
          <w:b/>
          <w:bCs/>
          <w:color w:val="000000"/>
          <w:sz w:val="22"/>
          <w:szCs w:val="22"/>
        </w:rPr>
        <w:t xml:space="preserve">corrispondente alla totalità dei lavori che egli deve eseguire </w:t>
      </w:r>
      <w:r w:rsidRPr="009C1CCC">
        <w:rPr>
          <w:rFonts w:ascii="Calibri" w:hAnsi="Calibri" w:cs="Calibri"/>
          <w:color w:val="000000"/>
          <w:sz w:val="22"/>
          <w:szCs w:val="22"/>
        </w:rPr>
        <w:t>e dunque comprendente anche il valore dei materiali e delle attrezzature messi a disposizione dall’appaltatore.</w:t>
      </w:r>
    </w:p>
    <w:p w14:paraId="73AD0E67" w14:textId="77777777" w:rsidR="00BE5974" w:rsidRPr="009C1CCC" w:rsidRDefault="00BE5974" w:rsidP="00BE5974">
      <w:pPr>
        <w:autoSpaceDE w:val="0"/>
        <w:autoSpaceDN w:val="0"/>
        <w:adjustRightInd w:val="0"/>
        <w:jc w:val="both"/>
        <w:rPr>
          <w:rFonts w:ascii="Calibri" w:hAnsi="Calibri" w:cs="Calibri"/>
          <w:color w:val="000000"/>
          <w:sz w:val="22"/>
          <w:szCs w:val="22"/>
        </w:rPr>
      </w:pPr>
    </w:p>
    <w:p w14:paraId="510E7BCE" w14:textId="77777777" w:rsidR="00BE5974" w:rsidRPr="009C1CCC" w:rsidRDefault="00BE5974" w:rsidP="00BE5974">
      <w:pPr>
        <w:numPr>
          <w:ilvl w:val="0"/>
          <w:numId w:val="26"/>
        </w:numPr>
        <w:autoSpaceDE w:val="0"/>
        <w:autoSpaceDN w:val="0"/>
        <w:adjustRightInd w:val="0"/>
        <w:jc w:val="both"/>
        <w:rPr>
          <w:rFonts w:ascii="Calibri" w:hAnsi="Calibri" w:cs="Calibri"/>
          <w:b/>
          <w:bCs/>
          <w:sz w:val="22"/>
          <w:szCs w:val="22"/>
        </w:rPr>
      </w:pPr>
      <w:r w:rsidRPr="009C1CCC">
        <w:rPr>
          <w:rFonts w:ascii="Calibri" w:hAnsi="Calibri" w:cs="Calibri"/>
          <w:b/>
          <w:bCs/>
          <w:sz w:val="22"/>
          <w:szCs w:val="22"/>
        </w:rPr>
        <w:t>Conclusioni</w:t>
      </w:r>
    </w:p>
    <w:p w14:paraId="33B06760" w14:textId="77777777" w:rsidR="00BE5974" w:rsidRPr="009C1CCC" w:rsidRDefault="00BE5974" w:rsidP="00BE5974">
      <w:pPr>
        <w:autoSpaceDE w:val="0"/>
        <w:autoSpaceDN w:val="0"/>
        <w:adjustRightInd w:val="0"/>
        <w:ind w:left="720"/>
        <w:jc w:val="both"/>
        <w:rPr>
          <w:rFonts w:ascii="Calibri" w:hAnsi="Calibri" w:cs="Calibri"/>
          <w:b/>
          <w:bCs/>
          <w:sz w:val="22"/>
          <w:szCs w:val="22"/>
        </w:rPr>
      </w:pPr>
    </w:p>
    <w:p w14:paraId="117AAA0A" w14:textId="77777777" w:rsidR="00BE5974" w:rsidRPr="009C1CCC" w:rsidRDefault="00BE5974" w:rsidP="00BE5974">
      <w:pPr>
        <w:autoSpaceDE w:val="0"/>
        <w:autoSpaceDN w:val="0"/>
        <w:adjustRightInd w:val="0"/>
        <w:jc w:val="both"/>
        <w:rPr>
          <w:rFonts w:ascii="Calibri" w:hAnsi="Calibri" w:cs="Calibri"/>
          <w:color w:val="000000"/>
          <w:sz w:val="22"/>
          <w:szCs w:val="22"/>
        </w:rPr>
      </w:pPr>
      <w:r w:rsidRPr="009C1CCC">
        <w:rPr>
          <w:rFonts w:ascii="Calibri" w:hAnsi="Calibri" w:cs="Calibri"/>
          <w:color w:val="000000"/>
          <w:sz w:val="22"/>
          <w:szCs w:val="22"/>
        </w:rPr>
        <w:t>Si tratta di due sentenze molto interessanti, che però non hanno ricevuto il superiore vaglio del Consiglio di Stato.</w:t>
      </w:r>
    </w:p>
    <w:p w14:paraId="29DA0525" w14:textId="77777777" w:rsidR="00BE5974" w:rsidRPr="009C1CCC" w:rsidRDefault="00BE5974" w:rsidP="00BE5974">
      <w:pPr>
        <w:autoSpaceDE w:val="0"/>
        <w:autoSpaceDN w:val="0"/>
        <w:adjustRightInd w:val="0"/>
        <w:jc w:val="both"/>
        <w:rPr>
          <w:rFonts w:ascii="Calibri" w:hAnsi="Calibri" w:cs="Calibri"/>
          <w:color w:val="000000"/>
          <w:sz w:val="22"/>
          <w:szCs w:val="22"/>
        </w:rPr>
      </w:pPr>
    </w:p>
    <w:p w14:paraId="2C04292B" w14:textId="77777777" w:rsidR="00BE5974" w:rsidRPr="009C1CCC" w:rsidRDefault="00BE5974" w:rsidP="00BE5974">
      <w:pPr>
        <w:autoSpaceDE w:val="0"/>
        <w:autoSpaceDN w:val="0"/>
        <w:adjustRightInd w:val="0"/>
        <w:jc w:val="both"/>
        <w:rPr>
          <w:rFonts w:ascii="Calibri" w:hAnsi="Calibri" w:cs="Calibri"/>
          <w:color w:val="000000"/>
          <w:sz w:val="22"/>
          <w:szCs w:val="22"/>
        </w:rPr>
      </w:pPr>
      <w:r w:rsidRPr="009C1CCC">
        <w:rPr>
          <w:rFonts w:ascii="Calibri" w:hAnsi="Calibri" w:cs="Calibri"/>
          <w:b/>
          <w:bCs/>
          <w:color w:val="000000"/>
          <w:sz w:val="22"/>
          <w:szCs w:val="22"/>
        </w:rPr>
        <w:t>Sul tetto al subappalto</w:t>
      </w:r>
      <w:r w:rsidRPr="009C1CCC">
        <w:rPr>
          <w:rFonts w:ascii="Calibri" w:hAnsi="Calibri" w:cs="Calibri"/>
          <w:color w:val="000000"/>
          <w:sz w:val="22"/>
          <w:szCs w:val="22"/>
        </w:rPr>
        <w:t>, la posizione del TAR Lazio non appare peraltro pienamente convincente.</w:t>
      </w:r>
    </w:p>
    <w:p w14:paraId="36AC3076" w14:textId="77777777" w:rsidR="00BE5974" w:rsidRPr="009C1CCC" w:rsidRDefault="00BE5974" w:rsidP="00BE5974">
      <w:pPr>
        <w:autoSpaceDE w:val="0"/>
        <w:autoSpaceDN w:val="0"/>
        <w:adjustRightInd w:val="0"/>
        <w:jc w:val="both"/>
        <w:rPr>
          <w:rFonts w:ascii="Calibri" w:hAnsi="Calibri" w:cs="Calibri"/>
          <w:color w:val="000000"/>
          <w:sz w:val="22"/>
          <w:szCs w:val="22"/>
        </w:rPr>
      </w:pPr>
    </w:p>
    <w:p w14:paraId="06CBF08B" w14:textId="77777777" w:rsidR="00BE5974" w:rsidRPr="009C1CCC" w:rsidRDefault="00BE5974" w:rsidP="00BE5974">
      <w:pPr>
        <w:autoSpaceDE w:val="0"/>
        <w:autoSpaceDN w:val="0"/>
        <w:adjustRightInd w:val="0"/>
        <w:jc w:val="both"/>
        <w:rPr>
          <w:rFonts w:ascii="Calibri" w:hAnsi="Calibri" w:cs="Calibri"/>
          <w:color w:val="000000"/>
          <w:sz w:val="22"/>
          <w:szCs w:val="22"/>
        </w:rPr>
      </w:pPr>
      <w:r w:rsidRPr="009C1CCC">
        <w:rPr>
          <w:rFonts w:ascii="Calibri" w:hAnsi="Calibri" w:cs="Calibri"/>
          <w:color w:val="000000"/>
          <w:sz w:val="22"/>
          <w:szCs w:val="22"/>
        </w:rPr>
        <w:t xml:space="preserve">Per </w:t>
      </w:r>
      <w:r w:rsidRPr="009C1CCC">
        <w:rPr>
          <w:rFonts w:ascii="Calibri" w:hAnsi="Calibri" w:cs="Calibri"/>
          <w:b/>
          <w:bCs/>
          <w:color w:val="000000"/>
          <w:sz w:val="22"/>
          <w:szCs w:val="22"/>
        </w:rPr>
        <w:t>l’ANCE</w:t>
      </w:r>
      <w:r w:rsidRPr="009C1CCC">
        <w:rPr>
          <w:rFonts w:ascii="Calibri" w:hAnsi="Calibri" w:cs="Calibri"/>
          <w:color w:val="000000"/>
          <w:sz w:val="22"/>
          <w:szCs w:val="22"/>
        </w:rPr>
        <w:t xml:space="preserve">, infatti, ferma l’inopportunità di una liberalizzazione completa del subappalto, </w:t>
      </w:r>
      <w:r w:rsidRPr="009C1CCC">
        <w:rPr>
          <w:rFonts w:ascii="Calibri" w:hAnsi="Calibri" w:cs="Calibri"/>
          <w:b/>
          <w:bCs/>
          <w:color w:val="000000"/>
          <w:sz w:val="22"/>
          <w:szCs w:val="22"/>
        </w:rPr>
        <w:t>potrebbe essere maggiormente coerente con il principio di proporzionalità lasciare alla stazione appaltante la possibilità di fissare</w:t>
      </w:r>
      <w:r w:rsidRPr="009C1CCC">
        <w:rPr>
          <w:rFonts w:ascii="Calibri" w:hAnsi="Calibri" w:cs="Calibri"/>
          <w:color w:val="000000"/>
          <w:sz w:val="22"/>
          <w:szCs w:val="22"/>
        </w:rPr>
        <w:t xml:space="preserve">, di volta in volta, nel bando o nell’avviso di gara, un limite al </w:t>
      </w:r>
      <w:r w:rsidRPr="009C1CCC">
        <w:rPr>
          <w:rFonts w:ascii="Calibri" w:hAnsi="Calibri" w:cs="Calibri"/>
          <w:color w:val="000000"/>
          <w:sz w:val="22"/>
          <w:szCs w:val="22"/>
        </w:rPr>
        <w:lastRenderedPageBreak/>
        <w:t xml:space="preserve">subappalto, </w:t>
      </w:r>
      <w:r w:rsidRPr="009C1CCC">
        <w:rPr>
          <w:rFonts w:ascii="Calibri" w:hAnsi="Calibri" w:cs="Calibri"/>
          <w:b/>
          <w:bCs/>
          <w:color w:val="000000"/>
          <w:sz w:val="22"/>
          <w:szCs w:val="22"/>
        </w:rPr>
        <w:t>entro una forbice compresa tra il 30 e il 50 per cento</w:t>
      </w:r>
      <w:r w:rsidRPr="009C1CCC">
        <w:rPr>
          <w:rFonts w:ascii="Calibri" w:hAnsi="Calibri" w:cs="Calibri"/>
          <w:color w:val="000000"/>
          <w:sz w:val="22"/>
          <w:szCs w:val="22"/>
        </w:rPr>
        <w:t xml:space="preserve">, </w:t>
      </w:r>
      <w:r w:rsidRPr="009C1CCC">
        <w:rPr>
          <w:rFonts w:ascii="Calibri" w:hAnsi="Calibri" w:cs="Calibri"/>
          <w:b/>
          <w:bCs/>
          <w:color w:val="000000"/>
          <w:sz w:val="22"/>
          <w:szCs w:val="22"/>
        </w:rPr>
        <w:t xml:space="preserve">da applicare </w:t>
      </w:r>
      <w:r w:rsidRPr="009C1CCC">
        <w:rPr>
          <w:rFonts w:ascii="Calibri" w:hAnsi="Calibri" w:cs="Calibri"/>
          <w:color w:val="000000"/>
          <w:sz w:val="22"/>
          <w:szCs w:val="22"/>
        </w:rPr>
        <w:t xml:space="preserve">però </w:t>
      </w:r>
      <w:r w:rsidRPr="009C1CCC">
        <w:rPr>
          <w:rFonts w:ascii="Calibri" w:hAnsi="Calibri" w:cs="Calibri"/>
          <w:b/>
          <w:bCs/>
          <w:color w:val="000000"/>
          <w:sz w:val="22"/>
          <w:szCs w:val="22"/>
        </w:rPr>
        <w:t>solo alla categoria prevalente</w:t>
      </w:r>
      <w:r w:rsidRPr="009C1CCC">
        <w:rPr>
          <w:rFonts w:ascii="Calibri" w:hAnsi="Calibri" w:cs="Calibri"/>
          <w:color w:val="000000"/>
          <w:sz w:val="22"/>
          <w:szCs w:val="22"/>
        </w:rPr>
        <w:t>.</w:t>
      </w:r>
    </w:p>
    <w:p w14:paraId="58D7B785" w14:textId="77777777" w:rsidR="00BE5974" w:rsidRPr="009C1CCC" w:rsidRDefault="00BE5974" w:rsidP="00BE5974">
      <w:pPr>
        <w:autoSpaceDE w:val="0"/>
        <w:autoSpaceDN w:val="0"/>
        <w:adjustRightInd w:val="0"/>
        <w:jc w:val="both"/>
        <w:rPr>
          <w:rFonts w:ascii="Calibri" w:hAnsi="Calibri" w:cs="Calibri"/>
          <w:color w:val="000000"/>
          <w:sz w:val="22"/>
          <w:szCs w:val="22"/>
        </w:rPr>
      </w:pPr>
    </w:p>
    <w:p w14:paraId="66A85DE7" w14:textId="77777777" w:rsidR="00BE5974" w:rsidRPr="009C1CCC" w:rsidRDefault="00BE5974" w:rsidP="00BE5974">
      <w:pPr>
        <w:autoSpaceDE w:val="0"/>
        <w:autoSpaceDN w:val="0"/>
        <w:adjustRightInd w:val="0"/>
        <w:jc w:val="both"/>
        <w:rPr>
          <w:rFonts w:ascii="Calibri" w:hAnsi="Calibri" w:cs="Calibri"/>
          <w:color w:val="000000"/>
          <w:sz w:val="22"/>
          <w:szCs w:val="22"/>
        </w:rPr>
      </w:pPr>
      <w:r w:rsidRPr="009C1CCC">
        <w:rPr>
          <w:rFonts w:ascii="Calibri" w:hAnsi="Calibri" w:cs="Calibri"/>
          <w:color w:val="000000"/>
          <w:sz w:val="22"/>
          <w:szCs w:val="22"/>
        </w:rPr>
        <w:t>Quest’ultima infatti racchiude senz’altro quelle “prestazioni essenziali” dell’appalto, rispetto alle quali, secondo la normativa comunitaria, la stazione appaltante potrebbe valutare l’esigenza di richiedere l’esecuzione diretta dell’appaltatore.</w:t>
      </w:r>
    </w:p>
    <w:p w14:paraId="64275908" w14:textId="77777777" w:rsidR="00BE5974" w:rsidRPr="009C1CCC" w:rsidRDefault="00BE5974" w:rsidP="00BE5974">
      <w:pPr>
        <w:autoSpaceDE w:val="0"/>
        <w:autoSpaceDN w:val="0"/>
        <w:adjustRightInd w:val="0"/>
        <w:jc w:val="both"/>
        <w:rPr>
          <w:rFonts w:ascii="Calibri" w:hAnsi="Calibri" w:cs="Calibri"/>
          <w:color w:val="000000"/>
          <w:sz w:val="22"/>
          <w:szCs w:val="22"/>
        </w:rPr>
      </w:pPr>
    </w:p>
    <w:p w14:paraId="548F7A3F" w14:textId="77777777" w:rsidR="00BE5974" w:rsidRPr="009C1CCC" w:rsidRDefault="00BE5974" w:rsidP="00BE5974">
      <w:pPr>
        <w:autoSpaceDE w:val="0"/>
        <w:autoSpaceDN w:val="0"/>
        <w:adjustRightInd w:val="0"/>
        <w:jc w:val="both"/>
        <w:rPr>
          <w:rFonts w:ascii="Calibri" w:hAnsi="Calibri" w:cs="Calibri"/>
          <w:b/>
          <w:bCs/>
          <w:color w:val="000000"/>
          <w:sz w:val="22"/>
          <w:szCs w:val="22"/>
        </w:rPr>
      </w:pPr>
      <w:r w:rsidRPr="009C1CCC">
        <w:rPr>
          <w:rFonts w:ascii="Calibri" w:hAnsi="Calibri" w:cs="Calibri"/>
          <w:color w:val="000000"/>
          <w:sz w:val="22"/>
          <w:szCs w:val="22"/>
        </w:rPr>
        <w:t xml:space="preserve">Peraltro, una soluzione come quella descritta, che rimette alla stazione appaltante la scelta, da effettuare in base alle caratteristiche dello specifico appalto, della quota di subappalto da autorizzare, sia pure nell’ambito di una “forcella” percentuale, appare pienamente idonea a </w:t>
      </w:r>
      <w:r w:rsidRPr="009C1CCC">
        <w:rPr>
          <w:rFonts w:ascii="Calibri" w:hAnsi="Calibri" w:cs="Calibri"/>
          <w:b/>
          <w:bCs/>
          <w:color w:val="000000"/>
          <w:sz w:val="22"/>
          <w:szCs w:val="22"/>
        </w:rPr>
        <w:t>rispondere alle contestazioni della Corte di giustizia, avversa ad un limite “generale ed astratto”.</w:t>
      </w:r>
    </w:p>
    <w:p w14:paraId="1F51A3C5" w14:textId="77777777" w:rsidR="00BE5974" w:rsidRPr="009C1CCC" w:rsidRDefault="00BE5974" w:rsidP="00BE5974">
      <w:pPr>
        <w:autoSpaceDE w:val="0"/>
        <w:autoSpaceDN w:val="0"/>
        <w:adjustRightInd w:val="0"/>
        <w:jc w:val="both"/>
        <w:rPr>
          <w:rFonts w:ascii="Calibri" w:hAnsi="Calibri" w:cs="Calibri"/>
          <w:b/>
          <w:bCs/>
          <w:color w:val="000000"/>
          <w:sz w:val="22"/>
          <w:szCs w:val="22"/>
        </w:rPr>
      </w:pPr>
    </w:p>
    <w:p w14:paraId="1A049117" w14:textId="77777777" w:rsidR="00BE5974" w:rsidRPr="009C1CCC" w:rsidRDefault="00BE5974" w:rsidP="00BE5974">
      <w:pPr>
        <w:autoSpaceDE w:val="0"/>
        <w:autoSpaceDN w:val="0"/>
        <w:adjustRightInd w:val="0"/>
        <w:jc w:val="both"/>
        <w:rPr>
          <w:rFonts w:ascii="Calibri" w:hAnsi="Calibri" w:cs="Calibri"/>
          <w:color w:val="000000"/>
          <w:sz w:val="22"/>
          <w:szCs w:val="22"/>
        </w:rPr>
      </w:pPr>
      <w:r w:rsidRPr="009C1CCC">
        <w:rPr>
          <w:rFonts w:ascii="Calibri" w:hAnsi="Calibri" w:cs="Calibri"/>
          <w:b/>
          <w:bCs/>
          <w:color w:val="000000"/>
          <w:sz w:val="22"/>
          <w:szCs w:val="22"/>
        </w:rPr>
        <w:t>Quanto alla questione del cottimo, i</w:t>
      </w:r>
      <w:r w:rsidRPr="009C1CCC">
        <w:rPr>
          <w:rFonts w:ascii="Calibri" w:hAnsi="Calibri" w:cs="Calibri"/>
          <w:color w:val="000000"/>
          <w:sz w:val="22"/>
          <w:szCs w:val="22"/>
        </w:rPr>
        <w:t xml:space="preserve">l TAR Marche offre una prima conferma a quanto sostenuto dall’ANCE, che ha sempre rilevato la particolarità di tale disposizione, ritenendo </w:t>
      </w:r>
      <w:r w:rsidRPr="009C1CCC">
        <w:rPr>
          <w:rFonts w:ascii="Calibri" w:hAnsi="Calibri" w:cs="Calibri"/>
          <w:b/>
          <w:bCs/>
          <w:color w:val="000000"/>
          <w:sz w:val="22"/>
          <w:szCs w:val="22"/>
        </w:rPr>
        <w:t xml:space="preserve">legittimo che l’appaltatore </w:t>
      </w:r>
      <w:r w:rsidRPr="009C1CCC">
        <w:rPr>
          <w:rFonts w:ascii="Calibri" w:hAnsi="Calibri" w:cs="Calibri"/>
          <w:color w:val="000000"/>
          <w:sz w:val="22"/>
          <w:szCs w:val="22"/>
        </w:rPr>
        <w:t xml:space="preserve">– ai fini dell’esecuzione di un appalto di lavori - </w:t>
      </w:r>
      <w:r w:rsidRPr="009C1CCC">
        <w:rPr>
          <w:rFonts w:ascii="Calibri" w:hAnsi="Calibri" w:cs="Calibri"/>
          <w:b/>
          <w:bCs/>
          <w:color w:val="000000"/>
          <w:sz w:val="22"/>
          <w:szCs w:val="22"/>
        </w:rPr>
        <w:t>si riservi la fornitura del materiale, affidando a terzi la posa in opera</w:t>
      </w:r>
      <w:r w:rsidRPr="009C1CCC">
        <w:rPr>
          <w:rFonts w:ascii="Calibri" w:hAnsi="Calibri" w:cs="Calibri"/>
          <w:color w:val="000000"/>
          <w:sz w:val="22"/>
          <w:szCs w:val="22"/>
        </w:rPr>
        <w:t>, nel presupposto che il cottimista sia qualificato per l’intera lavorazione.</w:t>
      </w:r>
    </w:p>
    <w:p w14:paraId="3C3ECEA3" w14:textId="77777777" w:rsidR="00BE5974" w:rsidRPr="009C1CCC" w:rsidRDefault="00BE5974" w:rsidP="00BE5974">
      <w:pPr>
        <w:autoSpaceDE w:val="0"/>
        <w:autoSpaceDN w:val="0"/>
        <w:adjustRightInd w:val="0"/>
        <w:jc w:val="both"/>
        <w:rPr>
          <w:rFonts w:ascii="Calibri" w:hAnsi="Calibri" w:cs="Calibri"/>
          <w:color w:val="000000"/>
          <w:sz w:val="22"/>
          <w:szCs w:val="22"/>
        </w:rPr>
      </w:pPr>
    </w:p>
    <w:p w14:paraId="508A0E4B" w14:textId="77777777" w:rsidR="00BE5974" w:rsidRPr="009C1CCC" w:rsidRDefault="00BE5974" w:rsidP="00BE5974">
      <w:pPr>
        <w:autoSpaceDE w:val="0"/>
        <w:autoSpaceDN w:val="0"/>
        <w:adjustRightInd w:val="0"/>
        <w:jc w:val="both"/>
        <w:rPr>
          <w:rFonts w:ascii="Calibri" w:hAnsi="Calibri" w:cs="Calibri"/>
          <w:color w:val="000000"/>
          <w:sz w:val="22"/>
          <w:szCs w:val="22"/>
        </w:rPr>
      </w:pPr>
      <w:r w:rsidRPr="009C1CCC">
        <w:rPr>
          <w:rFonts w:ascii="Calibri" w:hAnsi="Calibri" w:cs="Calibri"/>
          <w:color w:val="000000"/>
          <w:sz w:val="22"/>
          <w:szCs w:val="22"/>
        </w:rPr>
        <w:t>Di seguito i link ai provvedimenti:</w:t>
      </w:r>
    </w:p>
    <w:p w14:paraId="5B532D3C" w14:textId="77777777" w:rsidR="00BE5974" w:rsidRPr="009C1CCC" w:rsidRDefault="008A526C" w:rsidP="00BE5974">
      <w:pPr>
        <w:pStyle w:val="NormaleWeb"/>
        <w:numPr>
          <w:ilvl w:val="0"/>
          <w:numId w:val="25"/>
        </w:numPr>
        <w:shd w:val="clear" w:color="auto" w:fill="FFFFFF"/>
        <w:contextualSpacing/>
        <w:jc w:val="both"/>
        <w:rPr>
          <w:rFonts w:ascii="Calibri" w:hAnsi="Calibri" w:cs="Calibri"/>
          <w:color w:val="5A5A5A"/>
          <w:sz w:val="22"/>
          <w:szCs w:val="22"/>
        </w:rPr>
      </w:pPr>
      <w:hyperlink r:id="rId7" w:history="1">
        <w:r w:rsidR="00BE5974" w:rsidRPr="009C1CCC">
          <w:rPr>
            <w:rFonts w:ascii="Calibri" w:hAnsi="Calibri" w:cs="Calibri"/>
            <w:color w:val="0000FF"/>
            <w:sz w:val="22"/>
            <w:szCs w:val="22"/>
            <w:u w:val="single"/>
            <w:shd w:val="clear" w:color="auto" w:fill="FFFFFF"/>
          </w:rPr>
          <w:t xml:space="preserve">TAR Lazio, Roma, sez. I, </w:t>
        </w:r>
        <w:proofErr w:type="spellStart"/>
        <w:r w:rsidR="00BE5974" w:rsidRPr="009C1CCC">
          <w:rPr>
            <w:rFonts w:ascii="Calibri" w:hAnsi="Calibri" w:cs="Calibri"/>
            <w:color w:val="0000FF"/>
            <w:sz w:val="22"/>
            <w:szCs w:val="22"/>
            <w:u w:val="single"/>
            <w:shd w:val="clear" w:color="auto" w:fill="FFFFFF"/>
          </w:rPr>
          <w:t>sent</w:t>
        </w:r>
        <w:proofErr w:type="spellEnd"/>
        <w:r w:rsidR="00BE5974" w:rsidRPr="009C1CCC">
          <w:rPr>
            <w:rFonts w:ascii="Calibri" w:hAnsi="Calibri" w:cs="Calibri"/>
            <w:color w:val="0000FF"/>
            <w:sz w:val="22"/>
            <w:szCs w:val="22"/>
            <w:u w:val="single"/>
            <w:shd w:val="clear" w:color="auto" w:fill="FFFFFF"/>
          </w:rPr>
          <w:t xml:space="preserve">. 24 aprile 2020, n. 4183 </w:t>
        </w:r>
      </w:hyperlink>
    </w:p>
    <w:p w14:paraId="20FB3668" w14:textId="77777777" w:rsidR="00BE5974" w:rsidRPr="009C1CCC" w:rsidRDefault="008A526C" w:rsidP="00BE5974">
      <w:pPr>
        <w:pStyle w:val="NormaleWeb"/>
        <w:numPr>
          <w:ilvl w:val="0"/>
          <w:numId w:val="25"/>
        </w:numPr>
        <w:shd w:val="clear" w:color="auto" w:fill="FFFFFF"/>
        <w:contextualSpacing/>
        <w:jc w:val="both"/>
        <w:rPr>
          <w:rFonts w:ascii="Calibri" w:hAnsi="Calibri" w:cs="Calibri"/>
          <w:color w:val="5A5A5A"/>
          <w:sz w:val="22"/>
          <w:szCs w:val="22"/>
        </w:rPr>
      </w:pPr>
      <w:hyperlink r:id="rId8" w:history="1">
        <w:r w:rsidR="00BE5974" w:rsidRPr="009C1CCC">
          <w:rPr>
            <w:rFonts w:ascii="Calibri" w:hAnsi="Calibri" w:cs="Calibri"/>
            <w:color w:val="0000FF"/>
            <w:sz w:val="22"/>
            <w:szCs w:val="22"/>
            <w:u w:val="single"/>
            <w:shd w:val="clear" w:color="auto" w:fill="FFFFFF"/>
          </w:rPr>
          <w:t xml:space="preserve">TAR Marche, sez. I, </w:t>
        </w:r>
        <w:proofErr w:type="spellStart"/>
        <w:r w:rsidR="00BE5974" w:rsidRPr="009C1CCC">
          <w:rPr>
            <w:rFonts w:ascii="Calibri" w:hAnsi="Calibri" w:cs="Calibri"/>
            <w:color w:val="0000FF"/>
            <w:sz w:val="22"/>
            <w:szCs w:val="22"/>
            <w:u w:val="single"/>
            <w:shd w:val="clear" w:color="auto" w:fill="FFFFFF"/>
          </w:rPr>
          <w:t>sent</w:t>
        </w:r>
        <w:proofErr w:type="spellEnd"/>
        <w:r w:rsidR="00BE5974" w:rsidRPr="009C1CCC">
          <w:rPr>
            <w:rFonts w:ascii="Calibri" w:hAnsi="Calibri" w:cs="Calibri"/>
            <w:color w:val="0000FF"/>
            <w:sz w:val="22"/>
            <w:szCs w:val="22"/>
            <w:u w:val="single"/>
            <w:shd w:val="clear" w:color="auto" w:fill="FFFFFF"/>
          </w:rPr>
          <w:t>. 23 aprile 2020, n. 59</w:t>
        </w:r>
      </w:hyperlink>
    </w:p>
    <w:p w14:paraId="345A6536" w14:textId="77777777" w:rsidR="00652628" w:rsidRPr="009C1CCC" w:rsidRDefault="00652628" w:rsidP="00652628">
      <w:pPr>
        <w:jc w:val="both"/>
        <w:rPr>
          <w:rFonts w:ascii="Calibri" w:hAnsi="Calibri" w:cs="Calibri"/>
          <w:b/>
          <w:sz w:val="22"/>
          <w:szCs w:val="22"/>
        </w:rPr>
      </w:pPr>
    </w:p>
    <w:p w14:paraId="5D591B4C" w14:textId="77777777" w:rsidR="00CF2B9F" w:rsidRPr="00470380" w:rsidRDefault="00CF2B9F" w:rsidP="00652628">
      <w:pPr>
        <w:pStyle w:val="NormaleWeb"/>
        <w:jc w:val="both"/>
        <w:rPr>
          <w:rStyle w:val="Enfasigrassetto"/>
          <w:rFonts w:ascii="Calibri" w:hAnsi="Calibri"/>
          <w:sz w:val="22"/>
          <w:szCs w:val="22"/>
        </w:rPr>
      </w:pPr>
    </w:p>
    <w:p w14:paraId="15DD6785" w14:textId="69D91988" w:rsidR="00F33005" w:rsidRPr="00470380" w:rsidRDefault="00F33005" w:rsidP="00652628">
      <w:pPr>
        <w:pStyle w:val="NormaleWeb"/>
        <w:jc w:val="both"/>
        <w:rPr>
          <w:rStyle w:val="Enfasigrassetto"/>
          <w:rFonts w:ascii="Calibri" w:hAnsi="Calibri"/>
          <w:sz w:val="22"/>
          <w:szCs w:val="22"/>
        </w:rPr>
      </w:pPr>
    </w:p>
    <w:p w14:paraId="48B55A6F" w14:textId="65D8B035" w:rsidR="00F33005" w:rsidRPr="00470380" w:rsidRDefault="00F33005" w:rsidP="00652628">
      <w:pPr>
        <w:pStyle w:val="NormaleWeb"/>
        <w:jc w:val="both"/>
        <w:rPr>
          <w:rStyle w:val="Enfasigrassetto"/>
          <w:rFonts w:ascii="Calibri" w:hAnsi="Calibri"/>
          <w:sz w:val="22"/>
          <w:szCs w:val="22"/>
        </w:rPr>
      </w:pPr>
    </w:p>
    <w:p w14:paraId="44ECC7E8" w14:textId="4ABDE347" w:rsidR="00652628" w:rsidRPr="00470380" w:rsidRDefault="00652628" w:rsidP="00652628">
      <w:pPr>
        <w:pStyle w:val="NormaleWeb"/>
        <w:jc w:val="both"/>
        <w:rPr>
          <w:rStyle w:val="Enfasigrassetto"/>
          <w:rFonts w:ascii="Calibri" w:hAnsi="Calibri"/>
          <w:sz w:val="22"/>
          <w:szCs w:val="22"/>
        </w:rPr>
      </w:pPr>
    </w:p>
    <w:p w14:paraId="71C4E605" w14:textId="77777777" w:rsidR="00652628" w:rsidRPr="00470380" w:rsidRDefault="00652628" w:rsidP="00652628">
      <w:pPr>
        <w:pStyle w:val="NormaleWeb"/>
        <w:jc w:val="both"/>
        <w:rPr>
          <w:rStyle w:val="Enfasigrassetto"/>
          <w:rFonts w:ascii="Calibri" w:hAnsi="Calibri"/>
          <w:sz w:val="22"/>
          <w:szCs w:val="22"/>
        </w:rPr>
      </w:pPr>
    </w:p>
    <w:p w14:paraId="559C0EBE" w14:textId="77777777" w:rsidR="006411DF" w:rsidRPr="00470380" w:rsidRDefault="006411DF" w:rsidP="00D27A1C">
      <w:pPr>
        <w:pStyle w:val="NormaleWeb"/>
        <w:jc w:val="both"/>
        <w:rPr>
          <w:rStyle w:val="Enfasigrassetto"/>
          <w:rFonts w:ascii="Calibri" w:hAnsi="Calibri"/>
          <w:sz w:val="22"/>
          <w:szCs w:val="22"/>
        </w:rPr>
      </w:pPr>
      <w:r w:rsidRPr="00470380">
        <w:rPr>
          <w:rStyle w:val="Enfasigrassetto"/>
          <w:rFonts w:ascii="Calibri" w:hAnsi="Calibri"/>
          <w:sz w:val="22"/>
          <w:szCs w:val="22"/>
        </w:rPr>
        <w:t>Riferimenti:</w:t>
      </w:r>
    </w:p>
    <w:p w14:paraId="5EEE77D9" w14:textId="77777777" w:rsidR="006411DF" w:rsidRPr="00470380" w:rsidRDefault="006411DF" w:rsidP="00D27A1C">
      <w:pPr>
        <w:pStyle w:val="NormaleWeb"/>
        <w:jc w:val="both"/>
        <w:rPr>
          <w:rFonts w:ascii="Calibri" w:hAnsi="Calibri"/>
          <w:sz w:val="22"/>
          <w:szCs w:val="22"/>
        </w:rPr>
      </w:pPr>
      <w:r w:rsidRPr="00470380">
        <w:rPr>
          <w:rFonts w:ascii="Calibri" w:hAnsi="Calibri"/>
          <w:sz w:val="22"/>
          <w:szCs w:val="22"/>
        </w:rPr>
        <w:t>ANCE UMBRIA</w:t>
      </w:r>
    </w:p>
    <w:p w14:paraId="7D78A98D" w14:textId="6B907D09" w:rsidR="006411DF" w:rsidRPr="00470380" w:rsidRDefault="006411DF" w:rsidP="00D27A1C">
      <w:pPr>
        <w:pStyle w:val="NormaleWeb"/>
        <w:jc w:val="both"/>
        <w:rPr>
          <w:rFonts w:ascii="Calibri" w:hAnsi="Calibri"/>
          <w:sz w:val="22"/>
          <w:szCs w:val="22"/>
        </w:rPr>
      </w:pPr>
      <w:r w:rsidRPr="00470380">
        <w:rPr>
          <w:rFonts w:ascii="Calibri" w:hAnsi="Calibri"/>
          <w:sz w:val="22"/>
          <w:szCs w:val="22"/>
        </w:rPr>
        <w:t xml:space="preserve">Perugia – </w:t>
      </w:r>
      <w:hyperlink r:id="rId9" w:history="1">
        <w:r w:rsidRPr="00470380">
          <w:rPr>
            <w:rStyle w:val="Collegamentoipertestuale"/>
            <w:rFonts w:ascii="Calibri" w:hAnsi="Calibri"/>
            <w:sz w:val="22"/>
            <w:szCs w:val="22"/>
          </w:rPr>
          <w:t>info@anceumbria.it</w:t>
        </w:r>
      </w:hyperlink>
      <w:r w:rsidRPr="00470380">
        <w:rPr>
          <w:rFonts w:ascii="Calibri" w:hAnsi="Calibri"/>
          <w:sz w:val="22"/>
          <w:szCs w:val="22"/>
        </w:rPr>
        <w:t xml:space="preserve"> - Tel. 075/582751</w:t>
      </w:r>
    </w:p>
    <w:p w14:paraId="190D91BE" w14:textId="469279D8" w:rsidR="006411DF" w:rsidRPr="00470380" w:rsidRDefault="006411DF" w:rsidP="00D27A1C">
      <w:pPr>
        <w:pStyle w:val="NormaleWeb"/>
        <w:jc w:val="both"/>
        <w:rPr>
          <w:rFonts w:ascii="Calibri" w:hAnsi="Calibri"/>
          <w:sz w:val="22"/>
          <w:szCs w:val="22"/>
        </w:rPr>
      </w:pPr>
      <w:r w:rsidRPr="00470380">
        <w:rPr>
          <w:rFonts w:ascii="Calibri" w:hAnsi="Calibri"/>
          <w:sz w:val="22"/>
          <w:szCs w:val="22"/>
        </w:rPr>
        <w:t xml:space="preserve">Terni - </w:t>
      </w:r>
      <w:hyperlink r:id="rId10" w:history="1">
        <w:r w:rsidRPr="00470380">
          <w:rPr>
            <w:rStyle w:val="Collegamentoipertestuale"/>
            <w:rFonts w:ascii="Calibri" w:hAnsi="Calibri"/>
            <w:sz w:val="22"/>
            <w:szCs w:val="22"/>
          </w:rPr>
          <w:t>edilizia@confindustria.terni.it</w:t>
        </w:r>
      </w:hyperlink>
      <w:r w:rsidRPr="00470380">
        <w:rPr>
          <w:rFonts w:ascii="Calibri" w:hAnsi="Calibri"/>
          <w:sz w:val="22"/>
          <w:szCs w:val="22"/>
        </w:rPr>
        <w:t xml:space="preserve"> - Tel. 0744/443411</w:t>
      </w:r>
    </w:p>
    <w:p w14:paraId="389CE1E4" w14:textId="77777777" w:rsidR="005A6420" w:rsidRPr="00470380" w:rsidRDefault="005A6420"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310C91E3" w14:textId="77777777" w:rsidR="0091416E" w:rsidRPr="00470380" w:rsidRDefault="0091416E"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4A457965" w14:textId="40E0A07B" w:rsidR="00134010" w:rsidRPr="00470380" w:rsidRDefault="00134010"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04797544" w14:textId="77777777" w:rsidR="00F33005" w:rsidRPr="00470380" w:rsidRDefault="00F33005"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664EFFEA" w14:textId="77777777" w:rsidR="005A6420" w:rsidRPr="00470380" w:rsidRDefault="005A6420"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7FBCA73E" w14:textId="36E42E11" w:rsidR="00783E6E" w:rsidRPr="00470380" w:rsidRDefault="00952E48" w:rsidP="00D27A1C">
      <w:pPr>
        <w:tabs>
          <w:tab w:val="left" w:pos="720"/>
          <w:tab w:val="left" w:pos="900"/>
          <w:tab w:val="left" w:pos="1260"/>
          <w:tab w:val="left" w:pos="5580"/>
          <w:tab w:val="left" w:pos="6120"/>
        </w:tabs>
        <w:ind w:left="142" w:right="-2"/>
        <w:jc w:val="right"/>
        <w:rPr>
          <w:rFonts w:ascii="Calibri" w:hAnsi="Calibri" w:cs="Calibri"/>
          <w:sz w:val="22"/>
          <w:szCs w:val="22"/>
        </w:rPr>
      </w:pPr>
      <w:r w:rsidRPr="00470380">
        <w:rPr>
          <w:rFonts w:ascii="Calibri" w:hAnsi="Calibri" w:cs="Calibri"/>
          <w:sz w:val="22"/>
          <w:szCs w:val="22"/>
        </w:rPr>
        <w:t xml:space="preserve">Pubblicato il </w:t>
      </w:r>
      <w:r w:rsidR="00ED141D">
        <w:rPr>
          <w:rFonts w:ascii="Calibri" w:hAnsi="Calibri" w:cs="Calibri"/>
          <w:sz w:val="22"/>
          <w:szCs w:val="22"/>
        </w:rPr>
        <w:t>19</w:t>
      </w:r>
      <w:r w:rsidR="00010B0E" w:rsidRPr="00470380">
        <w:rPr>
          <w:rFonts w:ascii="Calibri" w:hAnsi="Calibri" w:cs="Calibri"/>
          <w:sz w:val="22"/>
          <w:szCs w:val="22"/>
        </w:rPr>
        <w:t>/0</w:t>
      </w:r>
      <w:r w:rsidR="00ED141D">
        <w:rPr>
          <w:rFonts w:ascii="Calibri" w:hAnsi="Calibri" w:cs="Calibri"/>
          <w:sz w:val="22"/>
          <w:szCs w:val="22"/>
        </w:rPr>
        <w:t>5</w:t>
      </w:r>
      <w:r w:rsidR="00297F87" w:rsidRPr="00470380">
        <w:rPr>
          <w:rFonts w:ascii="Calibri" w:hAnsi="Calibri" w:cs="Calibri"/>
          <w:sz w:val="22"/>
          <w:szCs w:val="22"/>
        </w:rPr>
        <w:t>/2020</w:t>
      </w:r>
    </w:p>
    <w:sectPr w:rsidR="00783E6E" w:rsidRPr="00470380" w:rsidSect="004E62C8">
      <w:headerReference w:type="first" r:id="rId11"/>
      <w:footerReference w:type="first" r:id="rId12"/>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8F445" w14:textId="77777777" w:rsidR="008A526C" w:rsidRDefault="008A526C">
      <w:r>
        <w:separator/>
      </w:r>
    </w:p>
  </w:endnote>
  <w:endnote w:type="continuationSeparator" w:id="0">
    <w:p w14:paraId="283DBB1E" w14:textId="77777777" w:rsidR="008A526C" w:rsidRDefault="008A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ook">
    <w:altName w:val="Century Gothic"/>
    <w:charset w:val="00"/>
    <w:family w:val="auto"/>
    <w:pitch w:val="variable"/>
    <w:sig w:usb0="00000003" w:usb1="00000000" w:usb2="00000000" w:usb3="00000000" w:csb0="00000001" w:csb1="00000000"/>
  </w:font>
  <w:font w:name="Futura LT Light">
    <w:altName w:val="Century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F788" w14:textId="77777777" w:rsidR="00151BDD" w:rsidRPr="004C2CC8" w:rsidRDefault="00BC4801" w:rsidP="00474ADE">
    <w:pPr>
      <w:tabs>
        <w:tab w:val="left" w:pos="900"/>
        <w:tab w:val="left" w:pos="1260"/>
        <w:tab w:val="left" w:pos="1620"/>
      </w:tabs>
      <w:rPr>
        <w:rFonts w:ascii="Futura LT Book" w:hAnsi="Futura LT Book"/>
        <w:b/>
        <w:color w:val="205394"/>
        <w:sz w:val="16"/>
        <w:szCs w:val="16"/>
      </w:rPr>
    </w:pPr>
    <w:r>
      <w:rPr>
        <w:rFonts w:ascii="Futura LT Book" w:hAnsi="Futura LT Book"/>
        <w:b/>
        <w:color w:val="205394"/>
        <w:sz w:val="16"/>
        <w:szCs w:val="16"/>
      </w:rPr>
      <w:t>Confindustria Umbria</w:t>
    </w:r>
  </w:p>
  <w:p w14:paraId="3908D6ED" w14:textId="77777777" w:rsidR="00151BDD" w:rsidRPr="004C2CC8" w:rsidRDefault="00BC4801"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232A169E" w14:textId="77777777" w:rsidR="00151BDD" w:rsidRPr="004C2CC8" w:rsidRDefault="00151BDD"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20B2810B" w14:textId="77777777" w:rsidR="00151BDD" w:rsidRPr="004C2CC8" w:rsidRDefault="00952E48" w:rsidP="00474ADE">
    <w:pPr>
      <w:tabs>
        <w:tab w:val="left" w:pos="900"/>
        <w:tab w:val="left" w:pos="1260"/>
        <w:tab w:val="left" w:pos="1620"/>
      </w:tabs>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606DB" w14:textId="77777777" w:rsidR="008A526C" w:rsidRDefault="008A526C">
      <w:r>
        <w:separator/>
      </w:r>
    </w:p>
  </w:footnote>
  <w:footnote w:type="continuationSeparator" w:id="0">
    <w:p w14:paraId="388EA82B" w14:textId="77777777" w:rsidR="008A526C" w:rsidRDefault="008A5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1C413A52" w14:textId="77777777" w:rsidTr="00952E48">
      <w:tc>
        <w:tcPr>
          <w:tcW w:w="900" w:type="dxa"/>
        </w:tcPr>
        <w:p w14:paraId="13A69F8E" w14:textId="77777777" w:rsidR="001867E9" w:rsidRDefault="008A526C">
          <w:pPr>
            <w:tabs>
              <w:tab w:val="left" w:pos="720"/>
              <w:tab w:val="left" w:pos="900"/>
              <w:tab w:val="left" w:pos="1260"/>
              <w:tab w:val="left" w:pos="1980"/>
            </w:tabs>
          </w:pPr>
          <w:r>
            <w:rPr>
              <w:noProof/>
              <w:color w:val="205394"/>
            </w:rPr>
            <w:pict w14:anchorId="6656F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alt="acquila" style="width:40.8pt;height:39.6pt;visibility:visible">
                <v:imagedata r:id="rId1" o:title="acquila"/>
              </v:shape>
            </w:pict>
          </w:r>
        </w:p>
      </w:tc>
      <w:tc>
        <w:tcPr>
          <w:tcW w:w="5421" w:type="dxa"/>
          <w:vAlign w:val="bottom"/>
        </w:tcPr>
        <w:p w14:paraId="7A43C720"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53B0DD7" w14:textId="77777777" w:rsidR="001867E9" w:rsidRDefault="001867E9">
          <w:pPr>
            <w:tabs>
              <w:tab w:val="left" w:pos="720"/>
              <w:tab w:val="left" w:pos="900"/>
              <w:tab w:val="left" w:pos="1260"/>
              <w:tab w:val="left" w:pos="1980"/>
            </w:tabs>
          </w:pPr>
        </w:p>
      </w:tc>
      <w:tc>
        <w:tcPr>
          <w:tcW w:w="4604" w:type="dxa"/>
          <w:vAlign w:val="bottom"/>
        </w:tcPr>
        <w:p w14:paraId="158EA449" w14:textId="77777777" w:rsidR="001867E9" w:rsidRDefault="001867E9">
          <w:pPr>
            <w:rPr>
              <w:rFonts w:ascii="Futura LT Light" w:hAnsi="Futura LT Light"/>
              <w:color w:val="00247E"/>
              <w:sz w:val="20"/>
              <w:szCs w:val="20"/>
            </w:rPr>
          </w:pPr>
        </w:p>
      </w:tc>
    </w:tr>
    <w:tr w:rsidR="001867E9" w14:paraId="7D902A2D" w14:textId="77777777" w:rsidTr="00952E48">
      <w:tc>
        <w:tcPr>
          <w:tcW w:w="900" w:type="dxa"/>
        </w:tcPr>
        <w:p w14:paraId="0D671F4E" w14:textId="77777777" w:rsidR="001867E9" w:rsidRDefault="001867E9">
          <w:pPr>
            <w:tabs>
              <w:tab w:val="left" w:pos="720"/>
              <w:tab w:val="left" w:pos="900"/>
              <w:tab w:val="left" w:pos="1260"/>
              <w:tab w:val="left" w:pos="1980"/>
            </w:tabs>
          </w:pPr>
        </w:p>
      </w:tc>
      <w:tc>
        <w:tcPr>
          <w:tcW w:w="5421" w:type="dxa"/>
        </w:tcPr>
        <w:p w14:paraId="482899B3"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589D41DD" w14:textId="77777777" w:rsidR="001867E9" w:rsidRDefault="001867E9">
          <w:pPr>
            <w:tabs>
              <w:tab w:val="left" w:pos="720"/>
              <w:tab w:val="left" w:pos="900"/>
              <w:tab w:val="left" w:pos="1260"/>
              <w:tab w:val="left" w:pos="1980"/>
            </w:tabs>
          </w:pPr>
        </w:p>
      </w:tc>
      <w:tc>
        <w:tcPr>
          <w:tcW w:w="4604" w:type="dxa"/>
        </w:tcPr>
        <w:p w14:paraId="23F4B353" w14:textId="77777777" w:rsidR="001867E9" w:rsidRDefault="001867E9">
          <w:pPr>
            <w:tabs>
              <w:tab w:val="left" w:pos="720"/>
              <w:tab w:val="left" w:pos="900"/>
              <w:tab w:val="left" w:pos="1260"/>
              <w:tab w:val="left" w:pos="1980"/>
            </w:tabs>
          </w:pPr>
        </w:p>
      </w:tc>
    </w:tr>
  </w:tbl>
  <w:p w14:paraId="1EAEF4F0"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22F"/>
    <w:multiLevelType w:val="multilevel"/>
    <w:tmpl w:val="F5289C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0137EC"/>
    <w:multiLevelType w:val="multilevel"/>
    <w:tmpl w:val="9B6AAF3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2628C"/>
    <w:multiLevelType w:val="multilevel"/>
    <w:tmpl w:val="A128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A1FFA"/>
    <w:multiLevelType w:val="multilevel"/>
    <w:tmpl w:val="D16220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741F5C"/>
    <w:multiLevelType w:val="multilevel"/>
    <w:tmpl w:val="98208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51C7BD3"/>
    <w:multiLevelType w:val="hybridMultilevel"/>
    <w:tmpl w:val="2520B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CD0245"/>
    <w:multiLevelType w:val="hybridMultilevel"/>
    <w:tmpl w:val="EF60F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286ABE"/>
    <w:multiLevelType w:val="multilevel"/>
    <w:tmpl w:val="95F2DE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7B051BA"/>
    <w:multiLevelType w:val="hybridMultilevel"/>
    <w:tmpl w:val="E00A6D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B50C56"/>
    <w:multiLevelType w:val="hybridMultilevel"/>
    <w:tmpl w:val="DF544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4236F8"/>
    <w:multiLevelType w:val="multilevel"/>
    <w:tmpl w:val="23C4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993CB0"/>
    <w:multiLevelType w:val="hybridMultilevel"/>
    <w:tmpl w:val="B2BA0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C7A75AC"/>
    <w:multiLevelType w:val="hybridMultilevel"/>
    <w:tmpl w:val="5FB89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DE96F3F"/>
    <w:multiLevelType w:val="multilevel"/>
    <w:tmpl w:val="1E8C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676A20"/>
    <w:multiLevelType w:val="hybridMultilevel"/>
    <w:tmpl w:val="2C5C0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DC77EF"/>
    <w:multiLevelType w:val="hybridMultilevel"/>
    <w:tmpl w:val="723A8E36"/>
    <w:lvl w:ilvl="0" w:tplc="DB641552">
      <w:numFmt w:val="bullet"/>
      <w:lvlText w:val="-"/>
      <w:lvlJc w:val="left"/>
      <w:pPr>
        <w:ind w:left="405" w:hanging="360"/>
      </w:pPr>
      <w:rPr>
        <w:rFonts w:ascii="Calibri" w:eastAsia="Calibri" w:hAnsi="Calibri" w:cs="Times New Roman" w:hint="default"/>
        <w:b w:val="0"/>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6" w15:restartNumberingAfterBreak="0">
    <w:nsid w:val="37061663"/>
    <w:multiLevelType w:val="multilevel"/>
    <w:tmpl w:val="F5DC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9F3522"/>
    <w:multiLevelType w:val="hybridMultilevel"/>
    <w:tmpl w:val="3B7ED684"/>
    <w:lvl w:ilvl="0" w:tplc="2CD8A1B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6C74DE"/>
    <w:multiLevelType w:val="multilevel"/>
    <w:tmpl w:val="596E4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294674"/>
    <w:multiLevelType w:val="multilevel"/>
    <w:tmpl w:val="103A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3324E"/>
    <w:multiLevelType w:val="hybridMultilevel"/>
    <w:tmpl w:val="7996F344"/>
    <w:lvl w:ilvl="0" w:tplc="7FB239F2">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56B225A"/>
    <w:multiLevelType w:val="hybridMultilevel"/>
    <w:tmpl w:val="00228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A3F733E"/>
    <w:multiLevelType w:val="hybridMultilevel"/>
    <w:tmpl w:val="1B84E2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786270C"/>
    <w:multiLevelType w:val="hybridMultilevel"/>
    <w:tmpl w:val="DC54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A130918"/>
    <w:multiLevelType w:val="hybridMultilevel"/>
    <w:tmpl w:val="1692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B2768DF"/>
    <w:multiLevelType w:val="hybridMultilevel"/>
    <w:tmpl w:val="A0880B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8"/>
  </w:num>
  <w:num w:numId="4">
    <w:abstractNumId w:val="8"/>
  </w:num>
  <w:num w:numId="5">
    <w:abstractNumId w:val="2"/>
  </w:num>
  <w:num w:numId="6">
    <w:abstractNumId w:val="9"/>
  </w:num>
  <w:num w:numId="7">
    <w:abstractNumId w:val="12"/>
  </w:num>
  <w:num w:numId="8">
    <w:abstractNumId w:val="21"/>
  </w:num>
  <w:num w:numId="9">
    <w:abstractNumId w:val="24"/>
  </w:num>
  <w:num w:numId="10">
    <w:abstractNumId w:val="20"/>
  </w:num>
  <w:num w:numId="11">
    <w:abstractNumId w:val="10"/>
  </w:num>
  <w:num w:numId="12">
    <w:abstractNumId w:val="19"/>
  </w:num>
  <w:num w:numId="13">
    <w:abstractNumId w:val="4"/>
  </w:num>
  <w:num w:numId="14">
    <w:abstractNumId w:val="7"/>
  </w:num>
  <w:num w:numId="15">
    <w:abstractNumId w:val="0"/>
  </w:num>
  <w:num w:numId="16">
    <w:abstractNumId w:val="3"/>
  </w:num>
  <w:num w:numId="17">
    <w:abstractNumId w:val="15"/>
  </w:num>
  <w:num w:numId="18">
    <w:abstractNumId w:val="1"/>
  </w:num>
  <w:num w:numId="19">
    <w:abstractNumId w:val="22"/>
  </w:num>
  <w:num w:numId="20">
    <w:abstractNumId w:val="16"/>
  </w:num>
  <w:num w:numId="21">
    <w:abstractNumId w:val="5"/>
  </w:num>
  <w:num w:numId="22">
    <w:abstractNumId w:val="23"/>
  </w:num>
  <w:num w:numId="23">
    <w:abstractNumId w:val="11"/>
  </w:num>
  <w:num w:numId="24">
    <w:abstractNumId w:val="6"/>
  </w:num>
  <w:num w:numId="25">
    <w:abstractNumId w:val="13"/>
  </w:num>
  <w:num w:numId="26">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418"/>
    <w:rsid w:val="000013D4"/>
    <w:rsid w:val="000018C4"/>
    <w:rsid w:val="00002340"/>
    <w:rsid w:val="00010B0E"/>
    <w:rsid w:val="00012716"/>
    <w:rsid w:val="000143BB"/>
    <w:rsid w:val="00014CFE"/>
    <w:rsid w:val="00030A72"/>
    <w:rsid w:val="000369D4"/>
    <w:rsid w:val="00037418"/>
    <w:rsid w:val="00040CFB"/>
    <w:rsid w:val="0004674A"/>
    <w:rsid w:val="00052071"/>
    <w:rsid w:val="000539CB"/>
    <w:rsid w:val="00053A2C"/>
    <w:rsid w:val="000614F9"/>
    <w:rsid w:val="000625BE"/>
    <w:rsid w:val="000637F2"/>
    <w:rsid w:val="00080ADD"/>
    <w:rsid w:val="00087150"/>
    <w:rsid w:val="0009085F"/>
    <w:rsid w:val="000B06C6"/>
    <w:rsid w:val="000B2103"/>
    <w:rsid w:val="000C53BB"/>
    <w:rsid w:val="000C5428"/>
    <w:rsid w:val="000D0123"/>
    <w:rsid w:val="000D36C6"/>
    <w:rsid w:val="000D4668"/>
    <w:rsid w:val="000D4ADA"/>
    <w:rsid w:val="000E38C9"/>
    <w:rsid w:val="000E6DB1"/>
    <w:rsid w:val="0010566D"/>
    <w:rsid w:val="00126D4F"/>
    <w:rsid w:val="001311CA"/>
    <w:rsid w:val="00134010"/>
    <w:rsid w:val="00136808"/>
    <w:rsid w:val="00151B1D"/>
    <w:rsid w:val="00151BDD"/>
    <w:rsid w:val="00160F19"/>
    <w:rsid w:val="001674E2"/>
    <w:rsid w:val="00172666"/>
    <w:rsid w:val="00181F9E"/>
    <w:rsid w:val="001867E9"/>
    <w:rsid w:val="00186B0A"/>
    <w:rsid w:val="001A0EA6"/>
    <w:rsid w:val="001A61DB"/>
    <w:rsid w:val="001B0373"/>
    <w:rsid w:val="001B1366"/>
    <w:rsid w:val="001C016B"/>
    <w:rsid w:val="001C5C73"/>
    <w:rsid w:val="001D46AD"/>
    <w:rsid w:val="001D783D"/>
    <w:rsid w:val="001D7F3D"/>
    <w:rsid w:val="001E0909"/>
    <w:rsid w:val="001E1A02"/>
    <w:rsid w:val="001E720B"/>
    <w:rsid w:val="001F202A"/>
    <w:rsid w:val="001F48AB"/>
    <w:rsid w:val="0020292B"/>
    <w:rsid w:val="00206722"/>
    <w:rsid w:val="00210ED4"/>
    <w:rsid w:val="002113BA"/>
    <w:rsid w:val="002166C4"/>
    <w:rsid w:val="0022540F"/>
    <w:rsid w:val="00230989"/>
    <w:rsid w:val="00237B46"/>
    <w:rsid w:val="00242295"/>
    <w:rsid w:val="00254095"/>
    <w:rsid w:val="002650B4"/>
    <w:rsid w:val="002655A5"/>
    <w:rsid w:val="00265FD1"/>
    <w:rsid w:val="00267F8E"/>
    <w:rsid w:val="0027190F"/>
    <w:rsid w:val="0027421E"/>
    <w:rsid w:val="002743DA"/>
    <w:rsid w:val="00293463"/>
    <w:rsid w:val="00297F87"/>
    <w:rsid w:val="002A6DFD"/>
    <w:rsid w:val="002B7EEB"/>
    <w:rsid w:val="002D246E"/>
    <w:rsid w:val="002D2B28"/>
    <w:rsid w:val="002E4047"/>
    <w:rsid w:val="00300CDB"/>
    <w:rsid w:val="00306EA7"/>
    <w:rsid w:val="003114C4"/>
    <w:rsid w:val="00322EE8"/>
    <w:rsid w:val="00326815"/>
    <w:rsid w:val="003347DC"/>
    <w:rsid w:val="0034265F"/>
    <w:rsid w:val="00363BF8"/>
    <w:rsid w:val="00385BAE"/>
    <w:rsid w:val="003944BF"/>
    <w:rsid w:val="00395392"/>
    <w:rsid w:val="003A759E"/>
    <w:rsid w:val="003B6D95"/>
    <w:rsid w:val="003B7ED2"/>
    <w:rsid w:val="003C19FB"/>
    <w:rsid w:val="003E5874"/>
    <w:rsid w:val="0041047E"/>
    <w:rsid w:val="0041177C"/>
    <w:rsid w:val="0042052A"/>
    <w:rsid w:val="00423098"/>
    <w:rsid w:val="004353E3"/>
    <w:rsid w:val="004414A4"/>
    <w:rsid w:val="004435C3"/>
    <w:rsid w:val="00454209"/>
    <w:rsid w:val="00465747"/>
    <w:rsid w:val="00470380"/>
    <w:rsid w:val="00472D2B"/>
    <w:rsid w:val="00474ADE"/>
    <w:rsid w:val="00483E55"/>
    <w:rsid w:val="004A43B9"/>
    <w:rsid w:val="004A5095"/>
    <w:rsid w:val="004B0EF1"/>
    <w:rsid w:val="004B5C7B"/>
    <w:rsid w:val="004B691C"/>
    <w:rsid w:val="004C1CE6"/>
    <w:rsid w:val="004C2CC8"/>
    <w:rsid w:val="004D48E8"/>
    <w:rsid w:val="004D4957"/>
    <w:rsid w:val="004E0C94"/>
    <w:rsid w:val="004E62C8"/>
    <w:rsid w:val="004F2D22"/>
    <w:rsid w:val="00517FCD"/>
    <w:rsid w:val="00520F32"/>
    <w:rsid w:val="0053112D"/>
    <w:rsid w:val="00531CA4"/>
    <w:rsid w:val="00532542"/>
    <w:rsid w:val="00546306"/>
    <w:rsid w:val="00557801"/>
    <w:rsid w:val="005615FE"/>
    <w:rsid w:val="00565BA4"/>
    <w:rsid w:val="00570DF9"/>
    <w:rsid w:val="00571AA5"/>
    <w:rsid w:val="00580D22"/>
    <w:rsid w:val="005952A0"/>
    <w:rsid w:val="005A2FBD"/>
    <w:rsid w:val="005A6420"/>
    <w:rsid w:val="005A68AC"/>
    <w:rsid w:val="005B68CD"/>
    <w:rsid w:val="005C488C"/>
    <w:rsid w:val="005D2783"/>
    <w:rsid w:val="005D58C7"/>
    <w:rsid w:val="005E05F4"/>
    <w:rsid w:val="005E29D1"/>
    <w:rsid w:val="005E2A6A"/>
    <w:rsid w:val="005E5E6F"/>
    <w:rsid w:val="005E694F"/>
    <w:rsid w:val="005F136F"/>
    <w:rsid w:val="00600B26"/>
    <w:rsid w:val="00606C5A"/>
    <w:rsid w:val="00617528"/>
    <w:rsid w:val="00633A04"/>
    <w:rsid w:val="006370DF"/>
    <w:rsid w:val="006411A6"/>
    <w:rsid w:val="006411DF"/>
    <w:rsid w:val="00652628"/>
    <w:rsid w:val="00654840"/>
    <w:rsid w:val="00673C44"/>
    <w:rsid w:val="00684F34"/>
    <w:rsid w:val="00686CD4"/>
    <w:rsid w:val="0069445C"/>
    <w:rsid w:val="00696623"/>
    <w:rsid w:val="006A2CD6"/>
    <w:rsid w:val="006C0F54"/>
    <w:rsid w:val="006C5530"/>
    <w:rsid w:val="006C6827"/>
    <w:rsid w:val="006D187D"/>
    <w:rsid w:val="006E4E22"/>
    <w:rsid w:val="006E64CC"/>
    <w:rsid w:val="006E71D6"/>
    <w:rsid w:val="006F3D2C"/>
    <w:rsid w:val="006F4A89"/>
    <w:rsid w:val="007006D5"/>
    <w:rsid w:val="00706997"/>
    <w:rsid w:val="00706BC8"/>
    <w:rsid w:val="00710780"/>
    <w:rsid w:val="007120A3"/>
    <w:rsid w:val="007212D6"/>
    <w:rsid w:val="00721719"/>
    <w:rsid w:val="007248A8"/>
    <w:rsid w:val="007268E0"/>
    <w:rsid w:val="007278BF"/>
    <w:rsid w:val="00727E86"/>
    <w:rsid w:val="00730857"/>
    <w:rsid w:val="007336E8"/>
    <w:rsid w:val="00744DE8"/>
    <w:rsid w:val="0075722D"/>
    <w:rsid w:val="00764518"/>
    <w:rsid w:val="00783E6E"/>
    <w:rsid w:val="007872ED"/>
    <w:rsid w:val="007900D5"/>
    <w:rsid w:val="007911A1"/>
    <w:rsid w:val="00792D99"/>
    <w:rsid w:val="00793849"/>
    <w:rsid w:val="00796CE5"/>
    <w:rsid w:val="007A106A"/>
    <w:rsid w:val="007A4BC4"/>
    <w:rsid w:val="007B0324"/>
    <w:rsid w:val="007B0D7B"/>
    <w:rsid w:val="007B28C2"/>
    <w:rsid w:val="007B4F16"/>
    <w:rsid w:val="007B72D4"/>
    <w:rsid w:val="007B7550"/>
    <w:rsid w:val="007C1279"/>
    <w:rsid w:val="007D0756"/>
    <w:rsid w:val="007D102D"/>
    <w:rsid w:val="007D346E"/>
    <w:rsid w:val="007E02A8"/>
    <w:rsid w:val="007E1CB1"/>
    <w:rsid w:val="007E1DC4"/>
    <w:rsid w:val="007E52F6"/>
    <w:rsid w:val="007E7A85"/>
    <w:rsid w:val="007F1200"/>
    <w:rsid w:val="007F7D2A"/>
    <w:rsid w:val="00801AE3"/>
    <w:rsid w:val="0080382C"/>
    <w:rsid w:val="008050CE"/>
    <w:rsid w:val="00814B6A"/>
    <w:rsid w:val="00827AA4"/>
    <w:rsid w:val="0083206A"/>
    <w:rsid w:val="008324D4"/>
    <w:rsid w:val="00842CAC"/>
    <w:rsid w:val="008469A6"/>
    <w:rsid w:val="0089242A"/>
    <w:rsid w:val="00895D5A"/>
    <w:rsid w:val="008A526C"/>
    <w:rsid w:val="008B5620"/>
    <w:rsid w:val="008C21F3"/>
    <w:rsid w:val="008C6FB9"/>
    <w:rsid w:val="008E4D83"/>
    <w:rsid w:val="008F7F38"/>
    <w:rsid w:val="0091416E"/>
    <w:rsid w:val="0092313F"/>
    <w:rsid w:val="00924F70"/>
    <w:rsid w:val="009259DA"/>
    <w:rsid w:val="00930421"/>
    <w:rsid w:val="00933A9A"/>
    <w:rsid w:val="00935FD9"/>
    <w:rsid w:val="00936AC3"/>
    <w:rsid w:val="00943AF3"/>
    <w:rsid w:val="00944DDE"/>
    <w:rsid w:val="00947B49"/>
    <w:rsid w:val="00951362"/>
    <w:rsid w:val="00952E48"/>
    <w:rsid w:val="00962B81"/>
    <w:rsid w:val="00964D43"/>
    <w:rsid w:val="00972881"/>
    <w:rsid w:val="009A181B"/>
    <w:rsid w:val="009A600B"/>
    <w:rsid w:val="009B370B"/>
    <w:rsid w:val="009C1CCC"/>
    <w:rsid w:val="009C5511"/>
    <w:rsid w:val="009C66FF"/>
    <w:rsid w:val="009D0AE2"/>
    <w:rsid w:val="009D26C3"/>
    <w:rsid w:val="009D42AF"/>
    <w:rsid w:val="009E0FC5"/>
    <w:rsid w:val="009E313A"/>
    <w:rsid w:val="009E718E"/>
    <w:rsid w:val="009F00C9"/>
    <w:rsid w:val="009F30D5"/>
    <w:rsid w:val="009F77CF"/>
    <w:rsid w:val="00A00CC0"/>
    <w:rsid w:val="00A02167"/>
    <w:rsid w:val="00A029FA"/>
    <w:rsid w:val="00A100C9"/>
    <w:rsid w:val="00A108C5"/>
    <w:rsid w:val="00A2160D"/>
    <w:rsid w:val="00A238E8"/>
    <w:rsid w:val="00A27F82"/>
    <w:rsid w:val="00A35E9C"/>
    <w:rsid w:val="00A421FD"/>
    <w:rsid w:val="00A554C8"/>
    <w:rsid w:val="00A5706E"/>
    <w:rsid w:val="00A65A7B"/>
    <w:rsid w:val="00A72245"/>
    <w:rsid w:val="00A7325D"/>
    <w:rsid w:val="00A874BE"/>
    <w:rsid w:val="00A92403"/>
    <w:rsid w:val="00AA755B"/>
    <w:rsid w:val="00AA7A03"/>
    <w:rsid w:val="00AB5961"/>
    <w:rsid w:val="00AC09F6"/>
    <w:rsid w:val="00AC0DA4"/>
    <w:rsid w:val="00AC363E"/>
    <w:rsid w:val="00AD6736"/>
    <w:rsid w:val="00AE4116"/>
    <w:rsid w:val="00AE484B"/>
    <w:rsid w:val="00AE7C4C"/>
    <w:rsid w:val="00AF1207"/>
    <w:rsid w:val="00AF303A"/>
    <w:rsid w:val="00AF4404"/>
    <w:rsid w:val="00AF4D79"/>
    <w:rsid w:val="00AF6300"/>
    <w:rsid w:val="00B1385A"/>
    <w:rsid w:val="00B27B4F"/>
    <w:rsid w:val="00B27DA0"/>
    <w:rsid w:val="00B34B96"/>
    <w:rsid w:val="00B44EC6"/>
    <w:rsid w:val="00B55997"/>
    <w:rsid w:val="00B56F41"/>
    <w:rsid w:val="00B74B3D"/>
    <w:rsid w:val="00B90950"/>
    <w:rsid w:val="00B954F6"/>
    <w:rsid w:val="00B9787B"/>
    <w:rsid w:val="00B97A78"/>
    <w:rsid w:val="00BA6BD6"/>
    <w:rsid w:val="00BA7B76"/>
    <w:rsid w:val="00BB7D4D"/>
    <w:rsid w:val="00BC0691"/>
    <w:rsid w:val="00BC4801"/>
    <w:rsid w:val="00BD3C2C"/>
    <w:rsid w:val="00BD60DB"/>
    <w:rsid w:val="00BE5974"/>
    <w:rsid w:val="00BF2A82"/>
    <w:rsid w:val="00C10A7A"/>
    <w:rsid w:val="00C13B4C"/>
    <w:rsid w:val="00C27714"/>
    <w:rsid w:val="00C433AC"/>
    <w:rsid w:val="00C46AA6"/>
    <w:rsid w:val="00C6046C"/>
    <w:rsid w:val="00C6483F"/>
    <w:rsid w:val="00C7079A"/>
    <w:rsid w:val="00C82C7A"/>
    <w:rsid w:val="00C92C40"/>
    <w:rsid w:val="00C93D89"/>
    <w:rsid w:val="00C96C69"/>
    <w:rsid w:val="00CA1FD0"/>
    <w:rsid w:val="00CA32BA"/>
    <w:rsid w:val="00CA5FB4"/>
    <w:rsid w:val="00CA677D"/>
    <w:rsid w:val="00CB0B8E"/>
    <w:rsid w:val="00CB1898"/>
    <w:rsid w:val="00CB302D"/>
    <w:rsid w:val="00CC42BA"/>
    <w:rsid w:val="00CD2F0A"/>
    <w:rsid w:val="00CD4A8E"/>
    <w:rsid w:val="00CF2B9F"/>
    <w:rsid w:val="00D05B8F"/>
    <w:rsid w:val="00D06063"/>
    <w:rsid w:val="00D102CD"/>
    <w:rsid w:val="00D12686"/>
    <w:rsid w:val="00D12E1E"/>
    <w:rsid w:val="00D13CAB"/>
    <w:rsid w:val="00D2250C"/>
    <w:rsid w:val="00D24A1C"/>
    <w:rsid w:val="00D25CF8"/>
    <w:rsid w:val="00D27A1C"/>
    <w:rsid w:val="00D30E39"/>
    <w:rsid w:val="00D327D9"/>
    <w:rsid w:val="00D32FC7"/>
    <w:rsid w:val="00D35077"/>
    <w:rsid w:val="00D403FB"/>
    <w:rsid w:val="00D46D8F"/>
    <w:rsid w:val="00D50F2A"/>
    <w:rsid w:val="00D54D0D"/>
    <w:rsid w:val="00D551CF"/>
    <w:rsid w:val="00D66BBB"/>
    <w:rsid w:val="00D70745"/>
    <w:rsid w:val="00D71FF5"/>
    <w:rsid w:val="00D74092"/>
    <w:rsid w:val="00D77E54"/>
    <w:rsid w:val="00DA4273"/>
    <w:rsid w:val="00DA5995"/>
    <w:rsid w:val="00DB3985"/>
    <w:rsid w:val="00DB4953"/>
    <w:rsid w:val="00DC0ED4"/>
    <w:rsid w:val="00DC7F97"/>
    <w:rsid w:val="00DD019F"/>
    <w:rsid w:val="00DF5163"/>
    <w:rsid w:val="00DF7579"/>
    <w:rsid w:val="00E12425"/>
    <w:rsid w:val="00E20570"/>
    <w:rsid w:val="00E209CB"/>
    <w:rsid w:val="00E25D34"/>
    <w:rsid w:val="00E273B4"/>
    <w:rsid w:val="00E31E8B"/>
    <w:rsid w:val="00E36D39"/>
    <w:rsid w:val="00E44B8E"/>
    <w:rsid w:val="00E47D5B"/>
    <w:rsid w:val="00E5260E"/>
    <w:rsid w:val="00E56C4C"/>
    <w:rsid w:val="00E71CEB"/>
    <w:rsid w:val="00E74979"/>
    <w:rsid w:val="00E8356D"/>
    <w:rsid w:val="00E906B5"/>
    <w:rsid w:val="00E909DF"/>
    <w:rsid w:val="00EA4465"/>
    <w:rsid w:val="00EB1B2C"/>
    <w:rsid w:val="00EB5F34"/>
    <w:rsid w:val="00EB6196"/>
    <w:rsid w:val="00EC0D5D"/>
    <w:rsid w:val="00ED141D"/>
    <w:rsid w:val="00ED1726"/>
    <w:rsid w:val="00ED2018"/>
    <w:rsid w:val="00ED2B9F"/>
    <w:rsid w:val="00ED6E2C"/>
    <w:rsid w:val="00ED7B1E"/>
    <w:rsid w:val="00EE18FB"/>
    <w:rsid w:val="00EF69AE"/>
    <w:rsid w:val="00F169DE"/>
    <w:rsid w:val="00F23D65"/>
    <w:rsid w:val="00F31A89"/>
    <w:rsid w:val="00F32A75"/>
    <w:rsid w:val="00F33005"/>
    <w:rsid w:val="00F4051C"/>
    <w:rsid w:val="00F4663F"/>
    <w:rsid w:val="00F51DA0"/>
    <w:rsid w:val="00F52882"/>
    <w:rsid w:val="00F53831"/>
    <w:rsid w:val="00F53938"/>
    <w:rsid w:val="00F53F66"/>
    <w:rsid w:val="00F60480"/>
    <w:rsid w:val="00F623AC"/>
    <w:rsid w:val="00F804E0"/>
    <w:rsid w:val="00F80976"/>
    <w:rsid w:val="00F81262"/>
    <w:rsid w:val="00F81771"/>
    <w:rsid w:val="00F9163B"/>
    <w:rsid w:val="00F94CCF"/>
    <w:rsid w:val="00FA52B2"/>
    <w:rsid w:val="00FC5166"/>
    <w:rsid w:val="00FC53D5"/>
    <w:rsid w:val="00FC6664"/>
    <w:rsid w:val="00FD4772"/>
    <w:rsid w:val="00FF08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7E19B"/>
  <w15:docId w15:val="{AC4CA1ED-655B-4B83-9704-4CC53F2C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8F7F38"/>
    <w:pPr>
      <w:autoSpaceDE w:val="0"/>
      <w:autoSpaceDN w:val="0"/>
      <w:adjustRightInd w:val="0"/>
    </w:pPr>
    <w:rPr>
      <w:rFonts w:eastAsia="Calibri"/>
      <w:color w:val="000000"/>
      <w:sz w:val="24"/>
      <w:szCs w:val="24"/>
      <w:lang w:eastAsia="en-US"/>
    </w:rPr>
  </w:style>
  <w:style w:type="character" w:styleId="Menzionenonrisolta">
    <w:name w:val="Unresolved Mention"/>
    <w:uiPriority w:val="99"/>
    <w:semiHidden/>
    <w:unhideWhenUsed/>
    <w:rsid w:val="003347DC"/>
    <w:rPr>
      <w:color w:val="605E5C"/>
      <w:shd w:val="clear" w:color="auto" w:fill="E1DFDD"/>
    </w:rPr>
  </w:style>
  <w:style w:type="character" w:styleId="Enfasigrassetto">
    <w:name w:val="Strong"/>
    <w:uiPriority w:val="22"/>
    <w:qFormat/>
    <w:rsid w:val="0009085F"/>
    <w:rPr>
      <w:b/>
      <w:bCs/>
    </w:rPr>
  </w:style>
  <w:style w:type="paragraph" w:styleId="NormaleWeb">
    <w:name w:val="Normal (Web)"/>
    <w:basedOn w:val="Normale"/>
    <w:uiPriority w:val="99"/>
    <w:semiHidden/>
    <w:unhideWhenUsed/>
    <w:rsid w:val="00C93D89"/>
  </w:style>
  <w:style w:type="character" w:styleId="Enfasicorsivo">
    <w:name w:val="Emphasis"/>
    <w:uiPriority w:val="20"/>
    <w:qFormat/>
    <w:rsid w:val="00633A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427">
      <w:bodyDiv w:val="1"/>
      <w:marLeft w:val="0"/>
      <w:marRight w:val="0"/>
      <w:marTop w:val="0"/>
      <w:marBottom w:val="0"/>
      <w:divBdr>
        <w:top w:val="none" w:sz="0" w:space="0" w:color="auto"/>
        <w:left w:val="none" w:sz="0" w:space="0" w:color="auto"/>
        <w:bottom w:val="none" w:sz="0" w:space="0" w:color="auto"/>
        <w:right w:val="none" w:sz="0" w:space="0" w:color="auto"/>
      </w:divBdr>
    </w:div>
    <w:div w:id="88552626">
      <w:bodyDiv w:val="1"/>
      <w:marLeft w:val="0"/>
      <w:marRight w:val="0"/>
      <w:marTop w:val="0"/>
      <w:marBottom w:val="0"/>
      <w:divBdr>
        <w:top w:val="none" w:sz="0" w:space="0" w:color="auto"/>
        <w:left w:val="none" w:sz="0" w:space="0" w:color="auto"/>
        <w:bottom w:val="none" w:sz="0" w:space="0" w:color="auto"/>
        <w:right w:val="none" w:sz="0" w:space="0" w:color="auto"/>
      </w:divBdr>
    </w:div>
    <w:div w:id="172109742">
      <w:bodyDiv w:val="1"/>
      <w:marLeft w:val="0"/>
      <w:marRight w:val="0"/>
      <w:marTop w:val="0"/>
      <w:marBottom w:val="0"/>
      <w:divBdr>
        <w:top w:val="none" w:sz="0" w:space="0" w:color="auto"/>
        <w:left w:val="none" w:sz="0" w:space="0" w:color="auto"/>
        <w:bottom w:val="none" w:sz="0" w:space="0" w:color="auto"/>
        <w:right w:val="none" w:sz="0" w:space="0" w:color="auto"/>
      </w:divBdr>
    </w:div>
    <w:div w:id="234709877">
      <w:bodyDiv w:val="1"/>
      <w:marLeft w:val="0"/>
      <w:marRight w:val="0"/>
      <w:marTop w:val="0"/>
      <w:marBottom w:val="0"/>
      <w:divBdr>
        <w:top w:val="none" w:sz="0" w:space="0" w:color="auto"/>
        <w:left w:val="none" w:sz="0" w:space="0" w:color="auto"/>
        <w:bottom w:val="none" w:sz="0" w:space="0" w:color="auto"/>
        <w:right w:val="none" w:sz="0" w:space="0" w:color="auto"/>
      </w:divBdr>
    </w:div>
    <w:div w:id="308097474">
      <w:bodyDiv w:val="1"/>
      <w:marLeft w:val="0"/>
      <w:marRight w:val="0"/>
      <w:marTop w:val="0"/>
      <w:marBottom w:val="0"/>
      <w:divBdr>
        <w:top w:val="none" w:sz="0" w:space="0" w:color="auto"/>
        <w:left w:val="none" w:sz="0" w:space="0" w:color="auto"/>
        <w:bottom w:val="none" w:sz="0" w:space="0" w:color="auto"/>
        <w:right w:val="none" w:sz="0" w:space="0" w:color="auto"/>
      </w:divBdr>
    </w:div>
    <w:div w:id="318507793">
      <w:bodyDiv w:val="1"/>
      <w:marLeft w:val="0"/>
      <w:marRight w:val="0"/>
      <w:marTop w:val="0"/>
      <w:marBottom w:val="0"/>
      <w:divBdr>
        <w:top w:val="none" w:sz="0" w:space="0" w:color="auto"/>
        <w:left w:val="none" w:sz="0" w:space="0" w:color="auto"/>
        <w:bottom w:val="none" w:sz="0" w:space="0" w:color="auto"/>
        <w:right w:val="none" w:sz="0" w:space="0" w:color="auto"/>
      </w:divBdr>
    </w:div>
    <w:div w:id="522788613">
      <w:bodyDiv w:val="1"/>
      <w:marLeft w:val="0"/>
      <w:marRight w:val="0"/>
      <w:marTop w:val="0"/>
      <w:marBottom w:val="0"/>
      <w:divBdr>
        <w:top w:val="none" w:sz="0" w:space="0" w:color="auto"/>
        <w:left w:val="none" w:sz="0" w:space="0" w:color="auto"/>
        <w:bottom w:val="none" w:sz="0" w:space="0" w:color="auto"/>
        <w:right w:val="none" w:sz="0" w:space="0" w:color="auto"/>
      </w:divBdr>
    </w:div>
    <w:div w:id="545798429">
      <w:bodyDiv w:val="1"/>
      <w:marLeft w:val="0"/>
      <w:marRight w:val="0"/>
      <w:marTop w:val="0"/>
      <w:marBottom w:val="0"/>
      <w:divBdr>
        <w:top w:val="none" w:sz="0" w:space="0" w:color="auto"/>
        <w:left w:val="none" w:sz="0" w:space="0" w:color="auto"/>
        <w:bottom w:val="none" w:sz="0" w:space="0" w:color="auto"/>
        <w:right w:val="none" w:sz="0" w:space="0" w:color="auto"/>
      </w:divBdr>
    </w:div>
    <w:div w:id="575286715">
      <w:bodyDiv w:val="1"/>
      <w:marLeft w:val="0"/>
      <w:marRight w:val="0"/>
      <w:marTop w:val="0"/>
      <w:marBottom w:val="0"/>
      <w:divBdr>
        <w:top w:val="none" w:sz="0" w:space="0" w:color="auto"/>
        <w:left w:val="none" w:sz="0" w:space="0" w:color="auto"/>
        <w:bottom w:val="none" w:sz="0" w:space="0" w:color="auto"/>
        <w:right w:val="none" w:sz="0" w:space="0" w:color="auto"/>
      </w:divBdr>
    </w:div>
    <w:div w:id="623081352">
      <w:bodyDiv w:val="1"/>
      <w:marLeft w:val="0"/>
      <w:marRight w:val="0"/>
      <w:marTop w:val="0"/>
      <w:marBottom w:val="0"/>
      <w:divBdr>
        <w:top w:val="none" w:sz="0" w:space="0" w:color="auto"/>
        <w:left w:val="none" w:sz="0" w:space="0" w:color="auto"/>
        <w:bottom w:val="none" w:sz="0" w:space="0" w:color="auto"/>
        <w:right w:val="none" w:sz="0" w:space="0" w:color="auto"/>
      </w:divBdr>
    </w:div>
    <w:div w:id="665935163">
      <w:bodyDiv w:val="1"/>
      <w:marLeft w:val="0"/>
      <w:marRight w:val="0"/>
      <w:marTop w:val="0"/>
      <w:marBottom w:val="0"/>
      <w:divBdr>
        <w:top w:val="none" w:sz="0" w:space="0" w:color="auto"/>
        <w:left w:val="none" w:sz="0" w:space="0" w:color="auto"/>
        <w:bottom w:val="none" w:sz="0" w:space="0" w:color="auto"/>
        <w:right w:val="none" w:sz="0" w:space="0" w:color="auto"/>
      </w:divBdr>
    </w:div>
    <w:div w:id="1105149096">
      <w:bodyDiv w:val="1"/>
      <w:marLeft w:val="0"/>
      <w:marRight w:val="0"/>
      <w:marTop w:val="0"/>
      <w:marBottom w:val="0"/>
      <w:divBdr>
        <w:top w:val="none" w:sz="0" w:space="0" w:color="auto"/>
        <w:left w:val="none" w:sz="0" w:space="0" w:color="auto"/>
        <w:bottom w:val="none" w:sz="0" w:space="0" w:color="auto"/>
        <w:right w:val="none" w:sz="0" w:space="0" w:color="auto"/>
      </w:divBdr>
    </w:div>
    <w:div w:id="1313094342">
      <w:bodyDiv w:val="1"/>
      <w:marLeft w:val="0"/>
      <w:marRight w:val="0"/>
      <w:marTop w:val="0"/>
      <w:marBottom w:val="0"/>
      <w:divBdr>
        <w:top w:val="none" w:sz="0" w:space="0" w:color="auto"/>
        <w:left w:val="none" w:sz="0" w:space="0" w:color="auto"/>
        <w:bottom w:val="none" w:sz="0" w:space="0" w:color="auto"/>
        <w:right w:val="none" w:sz="0" w:space="0" w:color="auto"/>
      </w:divBdr>
    </w:div>
    <w:div w:id="1355233073">
      <w:bodyDiv w:val="1"/>
      <w:marLeft w:val="0"/>
      <w:marRight w:val="0"/>
      <w:marTop w:val="0"/>
      <w:marBottom w:val="0"/>
      <w:divBdr>
        <w:top w:val="none" w:sz="0" w:space="0" w:color="auto"/>
        <w:left w:val="none" w:sz="0" w:space="0" w:color="auto"/>
        <w:bottom w:val="none" w:sz="0" w:space="0" w:color="auto"/>
        <w:right w:val="none" w:sz="0" w:space="0" w:color="auto"/>
      </w:divBdr>
    </w:div>
    <w:div w:id="1520000481">
      <w:bodyDiv w:val="1"/>
      <w:marLeft w:val="0"/>
      <w:marRight w:val="0"/>
      <w:marTop w:val="0"/>
      <w:marBottom w:val="0"/>
      <w:divBdr>
        <w:top w:val="none" w:sz="0" w:space="0" w:color="auto"/>
        <w:left w:val="none" w:sz="0" w:space="0" w:color="auto"/>
        <w:bottom w:val="none" w:sz="0" w:space="0" w:color="auto"/>
        <w:right w:val="none" w:sz="0" w:space="0" w:color="auto"/>
      </w:divBdr>
    </w:div>
    <w:div w:id="1527594266">
      <w:bodyDiv w:val="1"/>
      <w:marLeft w:val="0"/>
      <w:marRight w:val="0"/>
      <w:marTop w:val="0"/>
      <w:marBottom w:val="0"/>
      <w:divBdr>
        <w:top w:val="none" w:sz="0" w:space="0" w:color="auto"/>
        <w:left w:val="none" w:sz="0" w:space="0" w:color="auto"/>
        <w:bottom w:val="none" w:sz="0" w:space="0" w:color="auto"/>
        <w:right w:val="none" w:sz="0" w:space="0" w:color="auto"/>
      </w:divBdr>
    </w:div>
    <w:div w:id="1646351945">
      <w:bodyDiv w:val="1"/>
      <w:marLeft w:val="0"/>
      <w:marRight w:val="0"/>
      <w:marTop w:val="0"/>
      <w:marBottom w:val="0"/>
      <w:divBdr>
        <w:top w:val="none" w:sz="0" w:space="0" w:color="auto"/>
        <w:left w:val="none" w:sz="0" w:space="0" w:color="auto"/>
        <w:bottom w:val="none" w:sz="0" w:space="0" w:color="auto"/>
        <w:right w:val="none" w:sz="0" w:space="0" w:color="auto"/>
      </w:divBdr>
    </w:div>
    <w:div w:id="1900550876">
      <w:bodyDiv w:val="1"/>
      <w:marLeft w:val="0"/>
      <w:marRight w:val="0"/>
      <w:marTop w:val="0"/>
      <w:marBottom w:val="0"/>
      <w:divBdr>
        <w:top w:val="none" w:sz="0" w:space="0" w:color="auto"/>
        <w:left w:val="none" w:sz="0" w:space="0" w:color="auto"/>
        <w:bottom w:val="none" w:sz="0" w:space="0" w:color="auto"/>
        <w:right w:val="none" w:sz="0" w:space="0" w:color="auto"/>
      </w:divBdr>
    </w:div>
    <w:div w:id="1904219491">
      <w:bodyDiv w:val="1"/>
      <w:marLeft w:val="0"/>
      <w:marRight w:val="0"/>
      <w:marTop w:val="0"/>
      <w:marBottom w:val="0"/>
      <w:divBdr>
        <w:top w:val="none" w:sz="0" w:space="0" w:color="auto"/>
        <w:left w:val="none" w:sz="0" w:space="0" w:color="auto"/>
        <w:bottom w:val="none" w:sz="0" w:space="0" w:color="auto"/>
        <w:right w:val="none" w:sz="0" w:space="0" w:color="auto"/>
      </w:divBdr>
    </w:div>
    <w:div w:id="1929803571">
      <w:bodyDiv w:val="1"/>
      <w:marLeft w:val="0"/>
      <w:marRight w:val="0"/>
      <w:marTop w:val="0"/>
      <w:marBottom w:val="0"/>
      <w:divBdr>
        <w:top w:val="none" w:sz="0" w:space="0" w:color="auto"/>
        <w:left w:val="none" w:sz="0" w:space="0" w:color="auto"/>
        <w:bottom w:val="none" w:sz="0" w:space="0" w:color="auto"/>
        <w:right w:val="none" w:sz="0" w:space="0" w:color="auto"/>
      </w:divBdr>
      <w:divsChild>
        <w:div w:id="1472092269">
          <w:marLeft w:val="0"/>
          <w:marRight w:val="0"/>
          <w:marTop w:val="0"/>
          <w:marBottom w:val="0"/>
          <w:divBdr>
            <w:top w:val="none" w:sz="0" w:space="0" w:color="auto"/>
            <w:left w:val="none" w:sz="0" w:space="0" w:color="auto"/>
            <w:bottom w:val="none" w:sz="0" w:space="0" w:color="auto"/>
            <w:right w:val="none" w:sz="0" w:space="0" w:color="auto"/>
          </w:divBdr>
        </w:div>
      </w:divsChild>
    </w:div>
    <w:div w:id="1987124347">
      <w:bodyDiv w:val="1"/>
      <w:marLeft w:val="0"/>
      <w:marRight w:val="0"/>
      <w:marTop w:val="0"/>
      <w:marBottom w:val="0"/>
      <w:divBdr>
        <w:top w:val="none" w:sz="0" w:space="0" w:color="auto"/>
        <w:left w:val="none" w:sz="0" w:space="0" w:color="auto"/>
        <w:bottom w:val="none" w:sz="0" w:space="0" w:color="auto"/>
        <w:right w:val="none" w:sz="0" w:space="0" w:color="auto"/>
      </w:divBdr>
    </w:div>
    <w:div w:id="20889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ustizia-amministrativa.it/portale/pages/istituzionale/visualizza/?nodeRef=&amp;schema=tar_an&amp;nrg=202000059&amp;nomeFile=202000252_20.html&amp;subDir=Provvedimen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iustizia-amministrativa.it/portale/pages/istituzionale/visualizza/?nodeRef=&amp;schema=tar_rm&amp;nrg=201913783&amp;nomeFile=202004183_01.html&amp;subDir=Provvediment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SW12ADC02\archivi\010_CONFINDUSTRIA%20UMBRIA\Notiziario\2020\EDILIZIA\edilizia@confindustria.terni.it" TargetMode="External"/><Relationship Id="rId4" Type="http://schemas.openxmlformats.org/officeDocument/2006/relationships/webSettings" Target="webSettings.xml"/><Relationship Id="rId9" Type="http://schemas.openxmlformats.org/officeDocument/2006/relationships/hyperlink" Target="file:///\\SW12ADC02\archivi\010_CONFINDUSTRIA%20UMBRIA\Notiziario\2020\EDILIZIA\info@anceumbria.it%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58</TotalTime>
  <Pages>3</Pages>
  <Words>1222</Words>
  <Characters>6970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8176</CharactersWithSpaces>
  <SharedDoc>false</SharedDoc>
  <HLinks>
    <vt:vector size="12" baseType="variant">
      <vt:variant>
        <vt:i4>7667784</vt:i4>
      </vt:variant>
      <vt:variant>
        <vt:i4>3</vt:i4>
      </vt:variant>
      <vt:variant>
        <vt:i4>0</vt:i4>
      </vt:variant>
      <vt:variant>
        <vt:i4>5</vt:i4>
      </vt:variant>
      <vt:variant>
        <vt:lpwstr>edilizia@confindustria.terni.it</vt:lpwstr>
      </vt:variant>
      <vt:variant>
        <vt:lpwstr/>
      </vt:variant>
      <vt:variant>
        <vt:i4>2555987</vt:i4>
      </vt:variant>
      <vt:variant>
        <vt:i4>0</vt:i4>
      </vt:variant>
      <vt:variant>
        <vt:i4>0</vt:i4>
      </vt:variant>
      <vt:variant>
        <vt:i4>5</vt:i4>
      </vt:variant>
      <vt:variant>
        <vt:lpwstr>info@anceumbria.it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subject/>
  <dc:creator>Cristina Malfagia</dc:creator>
  <cp:keywords/>
  <cp:lastModifiedBy>hp</cp:lastModifiedBy>
  <cp:revision>10</cp:revision>
  <cp:lastPrinted>2019-02-27T17:41:00Z</cp:lastPrinted>
  <dcterms:created xsi:type="dcterms:W3CDTF">2020-03-20T14:32:00Z</dcterms:created>
  <dcterms:modified xsi:type="dcterms:W3CDTF">2020-05-19T11:09:00Z</dcterms:modified>
</cp:coreProperties>
</file>