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45CCB" w14:textId="6AB2A46A" w:rsidR="00994DE8" w:rsidRPr="00747106" w:rsidRDefault="008A68D2" w:rsidP="00994DE8">
      <w:pPr>
        <w:pStyle w:val="NormaleWeb"/>
        <w:rPr>
          <w:rFonts w:ascii="Calibri" w:hAnsi="Calibri" w:cs="Calibri Light"/>
          <w:b/>
          <w:bCs/>
          <w:sz w:val="22"/>
          <w:szCs w:val="22"/>
        </w:rPr>
      </w:pPr>
      <w:r w:rsidRPr="00747106">
        <w:rPr>
          <w:rFonts w:ascii="Calibri" w:hAnsi="Calibri" w:cs="Calibri"/>
          <w:b/>
          <w:bCs/>
          <w:sz w:val="22"/>
          <w:szCs w:val="22"/>
        </w:rPr>
        <w:pict w14:anchorId="036903AB">
          <v:shape id="Segno di sottrazione 5" o:spid="_x0000_s1026" style="position:absolute;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994DE8" w:rsidRPr="00747106">
        <w:rPr>
          <w:rFonts w:ascii="Calibri" w:hAnsi="Calibri" w:cs="Calibri Light"/>
          <w:b/>
          <w:bCs/>
          <w:sz w:val="22"/>
          <w:szCs w:val="22"/>
        </w:rPr>
        <w:t>Aliquota IVA agevolata per i beni necessari al contenimento dell’emergenza Covid-19</w:t>
      </w:r>
    </w:p>
    <w:p w14:paraId="38BC3F3C" w14:textId="7658BA80" w:rsidR="00C24A9A" w:rsidRPr="00747106" w:rsidRDefault="00C24A9A" w:rsidP="00C24A9A">
      <w:pPr>
        <w:spacing w:after="150"/>
        <w:rPr>
          <w:rFonts w:ascii="Calibri" w:hAnsi="Calibri" w:cs="Calibri"/>
          <w:b/>
          <w:bCs/>
          <w:sz w:val="22"/>
          <w:szCs w:val="22"/>
        </w:rPr>
      </w:pPr>
    </w:p>
    <w:p w14:paraId="2E6CCFD4" w14:textId="55D6E7F4" w:rsidR="00994DE8" w:rsidRPr="00747106" w:rsidRDefault="00994DE8" w:rsidP="00994DE8">
      <w:pPr>
        <w:pStyle w:val="NormaleWeb"/>
        <w:rPr>
          <w:rFonts w:ascii="Calibri" w:hAnsi="Calibri" w:cs="Calibri Light"/>
          <w:sz w:val="22"/>
          <w:szCs w:val="22"/>
        </w:rPr>
      </w:pPr>
      <w:r w:rsidRPr="00747106">
        <w:rPr>
          <w:rFonts w:ascii="Calibri" w:hAnsi="Calibri" w:cs="Calibri Light"/>
          <w:sz w:val="22"/>
          <w:szCs w:val="22"/>
        </w:rPr>
        <w:t>Circolare ADM 12/2020. Proposte emendative di Confindustria</w:t>
      </w:r>
      <w:bookmarkStart w:id="0" w:name="_GoBack"/>
      <w:bookmarkEnd w:id="0"/>
    </w:p>
    <w:p w14:paraId="1FA9DC30" w14:textId="58F0F17B" w:rsidR="00091677" w:rsidRPr="00747106" w:rsidRDefault="00091677" w:rsidP="00270D53">
      <w:pPr>
        <w:rPr>
          <w:rFonts w:ascii="Calibri" w:hAnsi="Calibri" w:cs="Calibri"/>
          <w:color w:val="1C2024"/>
          <w:sz w:val="22"/>
          <w:szCs w:val="22"/>
        </w:rPr>
      </w:pPr>
    </w:p>
    <w:p w14:paraId="4D4FC193" w14:textId="016A987E" w:rsidR="00A029CB" w:rsidRPr="00747106" w:rsidRDefault="00A029CB" w:rsidP="00270D53">
      <w:pPr>
        <w:rPr>
          <w:rFonts w:ascii="Calibri" w:hAnsi="Calibri" w:cs="Calibri"/>
          <w:color w:val="1C2024"/>
          <w:sz w:val="22"/>
          <w:szCs w:val="22"/>
        </w:rPr>
      </w:pPr>
    </w:p>
    <w:p w14:paraId="338120E5" w14:textId="5B8184EC" w:rsidR="00994DE8" w:rsidRPr="00747106" w:rsidRDefault="00994DE8" w:rsidP="00994DE8">
      <w:pPr>
        <w:pStyle w:val="NormaleWeb"/>
        <w:rPr>
          <w:rFonts w:ascii="Calibri" w:hAnsi="Calibri" w:cs="Calibri Light"/>
          <w:sz w:val="22"/>
          <w:szCs w:val="22"/>
        </w:rPr>
      </w:pPr>
      <w:r w:rsidRPr="00747106">
        <w:rPr>
          <w:rFonts w:ascii="Calibri" w:hAnsi="Calibri" w:cs="Calibri Light"/>
          <w:sz w:val="22"/>
          <w:szCs w:val="22"/>
        </w:rPr>
        <w:t xml:space="preserve">Il 30 maggio 2020, l’Agenzia delle Dogane e dei Monopoli ha pubblicato la Circolare n. 12/2020 concernente il trattamento IVA delle importazioni dei beni necessari per il contenimento e la gestione dell’emergenza da COVID-19. </w:t>
      </w:r>
    </w:p>
    <w:p w14:paraId="7BD7BA18" w14:textId="71701C5B" w:rsidR="00994DE8" w:rsidRPr="00747106" w:rsidRDefault="00994DE8" w:rsidP="00994DE8">
      <w:pPr>
        <w:pStyle w:val="NormaleWeb"/>
        <w:rPr>
          <w:rFonts w:ascii="Calibri" w:hAnsi="Calibri" w:cs="Calibri Light"/>
          <w:sz w:val="22"/>
          <w:szCs w:val="22"/>
        </w:rPr>
      </w:pPr>
      <w:r w:rsidRPr="00747106">
        <w:rPr>
          <w:rFonts w:ascii="Calibri" w:hAnsi="Calibri" w:cs="Calibri Light"/>
          <w:sz w:val="22"/>
          <w:szCs w:val="22"/>
        </w:rPr>
        <w:t xml:space="preserve">Nel documento l’Agenzia risolve alcuni dei principali dubbi emersi in fase di prima applicazione delle modifiche apportate dall’articolo 124 del </w:t>
      </w:r>
      <w:proofErr w:type="gramStart"/>
      <w:r w:rsidRPr="00747106">
        <w:rPr>
          <w:rFonts w:ascii="Calibri" w:hAnsi="Calibri" w:cs="Calibri Light"/>
          <w:sz w:val="22"/>
          <w:szCs w:val="22"/>
        </w:rPr>
        <w:t>Decreto Legge</w:t>
      </w:r>
      <w:proofErr w:type="gramEnd"/>
      <w:r w:rsidRPr="00747106">
        <w:rPr>
          <w:rFonts w:ascii="Calibri" w:hAnsi="Calibri" w:cs="Calibri Light"/>
          <w:sz w:val="22"/>
          <w:szCs w:val="22"/>
        </w:rPr>
        <w:t xml:space="preserve"> del 19 maggio 2020, n. 34 (c.d. Decreto Rilancio) che ha disposto l’assoggettamento ad aliquota IVA pari a zero sulle cessioni dei beni effettuate fino al 31 dicembre 2020 e dell’aliquota IVA del 5% per le cessioni effettuate dal 1° gennaio 2021. </w:t>
      </w:r>
    </w:p>
    <w:p w14:paraId="2177315D" w14:textId="77777777" w:rsidR="00994DE8" w:rsidRPr="00747106" w:rsidRDefault="00994DE8" w:rsidP="00994DE8">
      <w:pPr>
        <w:pStyle w:val="NormaleWeb"/>
        <w:rPr>
          <w:rFonts w:ascii="Calibri" w:hAnsi="Calibri" w:cs="Calibri Light"/>
          <w:sz w:val="22"/>
          <w:szCs w:val="22"/>
        </w:rPr>
      </w:pPr>
    </w:p>
    <w:p w14:paraId="1E0B20CF" w14:textId="74FCCDFC" w:rsidR="00994DE8" w:rsidRPr="00747106" w:rsidRDefault="00994DE8" w:rsidP="00994DE8">
      <w:pPr>
        <w:pStyle w:val="NormaleWeb"/>
        <w:rPr>
          <w:rFonts w:ascii="Calibri" w:hAnsi="Calibri" w:cs="Calibri Light"/>
          <w:sz w:val="22"/>
          <w:szCs w:val="22"/>
        </w:rPr>
      </w:pPr>
      <w:r w:rsidRPr="00747106">
        <w:rPr>
          <w:rFonts w:ascii="Calibri" w:hAnsi="Calibri" w:cs="Calibri Light"/>
          <w:sz w:val="22"/>
          <w:szCs w:val="22"/>
        </w:rPr>
        <w:t xml:space="preserve">Considerato che il Decreto Rilancio modifica la disciplina IVA nazionale, vien da sé che il trattamento IVA agevolato si applichi a tutte le cessioni di beni che rilevano ai fini IVA nel territorio dello Stato, quindi, oltre che alle cessioni interne anche alle importazioni dei medesimi beni (ex articolo 69, del DPR n. 633/1972 – Decreto IVA). </w:t>
      </w:r>
    </w:p>
    <w:p w14:paraId="3DC1001D" w14:textId="77777777" w:rsidR="00994DE8" w:rsidRPr="00747106" w:rsidRDefault="00994DE8" w:rsidP="00994DE8">
      <w:pPr>
        <w:pStyle w:val="NormaleWeb"/>
        <w:rPr>
          <w:rFonts w:ascii="Calibri" w:hAnsi="Calibri" w:cs="Calibri Light"/>
          <w:sz w:val="22"/>
          <w:szCs w:val="22"/>
        </w:rPr>
      </w:pPr>
    </w:p>
    <w:p w14:paraId="2BF662DE" w14:textId="1C40C2E8" w:rsidR="00994DE8" w:rsidRPr="00747106" w:rsidRDefault="00994DE8" w:rsidP="00994DE8">
      <w:pPr>
        <w:pStyle w:val="NormaleWeb"/>
        <w:rPr>
          <w:rFonts w:ascii="Calibri" w:hAnsi="Calibri" w:cs="Calibri Light"/>
          <w:sz w:val="22"/>
          <w:szCs w:val="22"/>
        </w:rPr>
      </w:pPr>
      <w:r w:rsidRPr="00747106">
        <w:rPr>
          <w:rFonts w:ascii="Calibri" w:hAnsi="Calibri" w:cs="Calibri Light"/>
          <w:sz w:val="22"/>
          <w:szCs w:val="22"/>
        </w:rPr>
        <w:t xml:space="preserve">Nella citata circolare l’Agenzia delle Dogane e dei Monopoli ha fornito utili chiarimenti sui seguenti punti: </w:t>
      </w:r>
    </w:p>
    <w:p w14:paraId="263BA4EF" w14:textId="6B63B9B3" w:rsidR="00994DE8" w:rsidRPr="00747106" w:rsidRDefault="00994DE8" w:rsidP="00994DE8">
      <w:pPr>
        <w:pStyle w:val="NormaleWeb"/>
        <w:numPr>
          <w:ilvl w:val="0"/>
          <w:numId w:val="27"/>
        </w:numPr>
        <w:rPr>
          <w:rFonts w:ascii="Calibri" w:hAnsi="Calibri" w:cs="Calibri Light"/>
          <w:sz w:val="22"/>
          <w:szCs w:val="22"/>
        </w:rPr>
      </w:pPr>
      <w:r w:rsidRPr="00747106">
        <w:rPr>
          <w:rFonts w:ascii="Calibri" w:hAnsi="Calibri" w:cs="Calibri Light"/>
          <w:b/>
          <w:bCs/>
          <w:sz w:val="22"/>
          <w:szCs w:val="22"/>
        </w:rPr>
        <w:t xml:space="preserve">Decorrenza della nuova disciplina: </w:t>
      </w:r>
      <w:r w:rsidRPr="00747106">
        <w:rPr>
          <w:rFonts w:ascii="Calibri" w:hAnsi="Calibri" w:cs="Calibri Light"/>
          <w:sz w:val="22"/>
          <w:szCs w:val="22"/>
        </w:rPr>
        <w:t xml:space="preserve">l’aliquota IVA agevolata si applica alle operazioni effettuate dal 19 maggio 2020, ossia dalla data di entrata in vigore del Decreto Rilancio. </w:t>
      </w:r>
    </w:p>
    <w:p w14:paraId="593326D6" w14:textId="542A6DC1" w:rsidR="00994DE8" w:rsidRPr="00747106" w:rsidRDefault="00994DE8" w:rsidP="00994DE8">
      <w:pPr>
        <w:pStyle w:val="NormaleWeb"/>
        <w:numPr>
          <w:ilvl w:val="0"/>
          <w:numId w:val="27"/>
        </w:numPr>
        <w:rPr>
          <w:rFonts w:ascii="Calibri" w:hAnsi="Calibri" w:cs="Calibri Light"/>
          <w:sz w:val="22"/>
          <w:szCs w:val="22"/>
        </w:rPr>
      </w:pPr>
      <w:proofErr w:type="spellStart"/>
      <w:r w:rsidRPr="00747106">
        <w:rPr>
          <w:rFonts w:ascii="Calibri" w:hAnsi="Calibri" w:cs="Calibri Light"/>
          <w:b/>
          <w:bCs/>
          <w:sz w:val="22"/>
          <w:szCs w:val="22"/>
        </w:rPr>
        <w:t>Tassativita</w:t>
      </w:r>
      <w:proofErr w:type="spellEnd"/>
      <w:r w:rsidRPr="00747106">
        <w:rPr>
          <w:rFonts w:ascii="Calibri" w:hAnsi="Calibri" w:cs="Calibri Light"/>
          <w:b/>
          <w:bCs/>
          <w:sz w:val="22"/>
          <w:szCs w:val="22"/>
        </w:rPr>
        <w:t xml:space="preserve">̀ dell’elenco dei beni agevolabili: </w:t>
      </w:r>
      <w:r w:rsidRPr="00747106">
        <w:rPr>
          <w:rFonts w:ascii="Calibri" w:hAnsi="Calibri" w:cs="Calibri Light"/>
          <w:sz w:val="22"/>
          <w:szCs w:val="22"/>
        </w:rPr>
        <w:t xml:space="preserve">l’aliquota IVA agevolata si applica esclusivamente ai beni elencati dalla norma escludendo, pertanto, beni aventi funzioni similari. </w:t>
      </w:r>
    </w:p>
    <w:p w14:paraId="1A65BA8F" w14:textId="18D43FB3" w:rsidR="00994DE8" w:rsidRPr="00747106" w:rsidRDefault="00994DE8" w:rsidP="00994DE8">
      <w:pPr>
        <w:pStyle w:val="NormaleWeb"/>
        <w:numPr>
          <w:ilvl w:val="0"/>
          <w:numId w:val="27"/>
        </w:numPr>
        <w:rPr>
          <w:rFonts w:ascii="Calibri" w:hAnsi="Calibri" w:cs="Calibri Light"/>
          <w:sz w:val="22"/>
          <w:szCs w:val="22"/>
        </w:rPr>
      </w:pPr>
      <w:r w:rsidRPr="00747106">
        <w:rPr>
          <w:rFonts w:ascii="Calibri" w:hAnsi="Calibri" w:cs="Calibri Light"/>
          <w:b/>
          <w:bCs/>
          <w:sz w:val="22"/>
          <w:szCs w:val="22"/>
        </w:rPr>
        <w:t>Codici TARIC dei beni elencati</w:t>
      </w:r>
      <w:r w:rsidRPr="00747106">
        <w:rPr>
          <w:rFonts w:ascii="Calibri" w:hAnsi="Calibri" w:cs="Calibri Light"/>
          <w:sz w:val="22"/>
          <w:szCs w:val="22"/>
        </w:rPr>
        <w:t>: l’Agenzia fornisce un dettaglio dei beni individuati dalla norma riportando i codici TARIC ad essi associati, riprendendo l’elenco dei beni suggerito dalla Commissione Europea nella comunicazione del 3 aprile 2020</w:t>
      </w:r>
      <w:r w:rsidRPr="00747106">
        <w:rPr>
          <w:rFonts w:ascii="Calibri" w:hAnsi="Calibri" w:cs="Calibri Light"/>
          <w:position w:val="6"/>
          <w:sz w:val="22"/>
          <w:szCs w:val="22"/>
        </w:rPr>
        <w:t>1</w:t>
      </w:r>
      <w:r w:rsidRPr="00747106">
        <w:rPr>
          <w:rFonts w:ascii="Calibri" w:hAnsi="Calibri" w:cs="Calibri Light"/>
          <w:sz w:val="22"/>
          <w:szCs w:val="22"/>
        </w:rPr>
        <w:t xml:space="preserve">. Inoltre, ai medesimi beni è stato associato il codice TARIC </w:t>
      </w:r>
      <w:r w:rsidRPr="00747106">
        <w:rPr>
          <w:rFonts w:ascii="Calibri" w:hAnsi="Calibri" w:cs="Calibri Light"/>
          <w:i/>
          <w:iCs/>
          <w:sz w:val="22"/>
          <w:szCs w:val="22"/>
        </w:rPr>
        <w:t xml:space="preserve">“Q101: esenti dall’imposta sul valore aggiunto ai sensi dell’art. 124, comma 2, DL 19 maggio 2020, n. 34” </w:t>
      </w:r>
      <w:r w:rsidRPr="00747106">
        <w:rPr>
          <w:rFonts w:ascii="Calibri" w:hAnsi="Calibri" w:cs="Calibri Light"/>
          <w:sz w:val="22"/>
          <w:szCs w:val="22"/>
        </w:rPr>
        <w:t xml:space="preserve">che deve essere indicato nelle importazioni dei beni effettuate fino al 31 dicembre 2020. </w:t>
      </w:r>
    </w:p>
    <w:p w14:paraId="47042488" w14:textId="77777777" w:rsidR="00994DE8" w:rsidRPr="00747106" w:rsidRDefault="00994DE8" w:rsidP="00994DE8">
      <w:pPr>
        <w:pStyle w:val="NormaleWeb"/>
        <w:rPr>
          <w:rFonts w:ascii="Calibri" w:hAnsi="Calibri" w:cs="Calibri Light"/>
          <w:sz w:val="22"/>
          <w:szCs w:val="22"/>
        </w:rPr>
      </w:pPr>
    </w:p>
    <w:p w14:paraId="4BB2B91E" w14:textId="7B820B9B" w:rsidR="00994DE8" w:rsidRPr="00747106" w:rsidRDefault="00994DE8" w:rsidP="00994DE8">
      <w:pPr>
        <w:pStyle w:val="NormaleWeb"/>
        <w:rPr>
          <w:rFonts w:ascii="Calibri" w:hAnsi="Calibri" w:cs="Calibri Light"/>
          <w:sz w:val="22"/>
          <w:szCs w:val="22"/>
        </w:rPr>
      </w:pPr>
      <w:r w:rsidRPr="00747106">
        <w:rPr>
          <w:rFonts w:ascii="Calibri" w:hAnsi="Calibri" w:cs="Calibri Light"/>
          <w:sz w:val="22"/>
          <w:szCs w:val="22"/>
        </w:rPr>
        <w:t xml:space="preserve">I chiarimenti forniti appaiono coerenti con il dettato normativo e confermano le precedenti interpretazioni della norma. Tuttavia, si ritiene che le definizioni dei beni riportate nell’attuale formulazione della norma rischino di escludere dall’agevolazione alcuni beni che, invece, si stanno rivelando effettivamente utili nel fronteggiare l’emergenza epidemiologica. </w:t>
      </w:r>
    </w:p>
    <w:p w14:paraId="0BF50418" w14:textId="77777777" w:rsidR="00994DE8" w:rsidRPr="00747106" w:rsidRDefault="00994DE8" w:rsidP="00994DE8">
      <w:pPr>
        <w:pStyle w:val="NormaleWeb"/>
        <w:rPr>
          <w:rFonts w:ascii="Calibri" w:hAnsi="Calibri" w:cs="Calibri Light"/>
          <w:sz w:val="22"/>
          <w:szCs w:val="22"/>
        </w:rPr>
      </w:pPr>
    </w:p>
    <w:p w14:paraId="2274A471" w14:textId="51AAC8CF" w:rsidR="00994DE8" w:rsidRPr="00747106" w:rsidRDefault="00994DE8" w:rsidP="00994DE8">
      <w:pPr>
        <w:pStyle w:val="NormaleWeb"/>
        <w:rPr>
          <w:rFonts w:ascii="Calibri" w:hAnsi="Calibri" w:cs="Calibri Light"/>
          <w:sz w:val="22"/>
          <w:szCs w:val="22"/>
        </w:rPr>
      </w:pPr>
      <w:r w:rsidRPr="00747106">
        <w:rPr>
          <w:rFonts w:ascii="Calibri" w:hAnsi="Calibri" w:cs="Calibri Light"/>
          <w:sz w:val="22"/>
          <w:szCs w:val="22"/>
        </w:rPr>
        <w:t xml:space="preserve">Per tale ragione, </w:t>
      </w:r>
      <w:r w:rsidRPr="00747106">
        <w:rPr>
          <w:rFonts w:ascii="Calibri" w:hAnsi="Calibri" w:cs="Calibri Light"/>
          <w:b/>
          <w:bCs/>
          <w:sz w:val="22"/>
          <w:szCs w:val="22"/>
        </w:rPr>
        <w:t>Confindustria ha presentato un</w:t>
      </w:r>
      <w:r w:rsidRPr="00747106">
        <w:rPr>
          <w:rFonts w:ascii="Calibri" w:hAnsi="Calibri" w:cs="Calibri Light"/>
          <w:sz w:val="22"/>
          <w:szCs w:val="22"/>
        </w:rPr>
        <w:t xml:space="preserve"> </w:t>
      </w:r>
      <w:r w:rsidRPr="00747106">
        <w:rPr>
          <w:rFonts w:ascii="Calibri" w:hAnsi="Calibri" w:cs="Calibri Light"/>
          <w:b/>
          <w:bCs/>
          <w:sz w:val="22"/>
          <w:szCs w:val="22"/>
        </w:rPr>
        <w:t>emendamento</w:t>
      </w:r>
      <w:r w:rsidRPr="00747106">
        <w:rPr>
          <w:rFonts w:ascii="Calibri" w:hAnsi="Calibri" w:cs="Calibri Light"/>
          <w:sz w:val="22"/>
          <w:szCs w:val="22"/>
        </w:rPr>
        <w:t xml:space="preserve"> volto ad apportare alcune correzioni e integrazioni alla norma che diano maggiore chiarezza agli operatori e che estendano l’applicazione dell’aliquota agevolata a beni differenti ma aventi le medesime </w:t>
      </w:r>
      <w:proofErr w:type="spellStart"/>
      <w:r w:rsidRPr="00747106">
        <w:rPr>
          <w:rFonts w:ascii="Calibri" w:hAnsi="Calibri" w:cs="Calibri Light"/>
          <w:sz w:val="22"/>
          <w:szCs w:val="22"/>
        </w:rPr>
        <w:t>finalita</w:t>
      </w:r>
      <w:proofErr w:type="spellEnd"/>
      <w:r w:rsidRPr="00747106">
        <w:rPr>
          <w:rFonts w:ascii="Calibri" w:hAnsi="Calibri" w:cs="Calibri Light"/>
          <w:sz w:val="22"/>
          <w:szCs w:val="22"/>
        </w:rPr>
        <w:t xml:space="preserve">̀. </w:t>
      </w:r>
    </w:p>
    <w:p w14:paraId="1FE6A0F7" w14:textId="77777777" w:rsidR="00994DE8" w:rsidRPr="00747106" w:rsidRDefault="00994DE8" w:rsidP="00994DE8">
      <w:pPr>
        <w:pStyle w:val="NormaleWeb"/>
        <w:rPr>
          <w:rFonts w:ascii="Calibri" w:hAnsi="Calibri" w:cs="Calibri Light"/>
          <w:sz w:val="22"/>
          <w:szCs w:val="22"/>
        </w:rPr>
      </w:pPr>
    </w:p>
    <w:p w14:paraId="6FD55625" w14:textId="77777777" w:rsidR="00994DE8" w:rsidRPr="00747106" w:rsidRDefault="00994DE8" w:rsidP="00994DE8">
      <w:pPr>
        <w:pStyle w:val="NormaleWeb"/>
        <w:rPr>
          <w:rFonts w:ascii="Calibri" w:hAnsi="Calibri" w:cs="Calibri Light"/>
          <w:sz w:val="22"/>
          <w:szCs w:val="22"/>
        </w:rPr>
      </w:pPr>
      <w:r w:rsidRPr="00747106">
        <w:rPr>
          <w:rFonts w:ascii="Calibri" w:hAnsi="Calibri" w:cs="Calibri Light"/>
          <w:sz w:val="22"/>
          <w:szCs w:val="22"/>
        </w:rPr>
        <w:t xml:space="preserve">A titolo esemplificativo, accogliendo le segnalazioni arrivate dal territorio, l’emendamento propone di estendere la disciplina agevolata a tutti i detergenti e disinfettanti per le mani ma anche a quelli denominati igienizzanti e a quelli utilizzati per le superfici. Similarmente si propone l’applicazione dell’agevolazione a tutte le soluzioni idroalcoliche utilizzate dalle aziende, indipendentemente dalle </w:t>
      </w:r>
      <w:proofErr w:type="spellStart"/>
      <w:r w:rsidRPr="00747106">
        <w:rPr>
          <w:rFonts w:ascii="Calibri" w:hAnsi="Calibri" w:cs="Calibri Light"/>
          <w:sz w:val="22"/>
          <w:szCs w:val="22"/>
        </w:rPr>
        <w:t>quantita</w:t>
      </w:r>
      <w:proofErr w:type="spellEnd"/>
      <w:r w:rsidRPr="00747106">
        <w:rPr>
          <w:rFonts w:ascii="Calibri" w:hAnsi="Calibri" w:cs="Calibri Light"/>
          <w:sz w:val="22"/>
          <w:szCs w:val="22"/>
        </w:rPr>
        <w:t>̀, e ad altre apparecchiature mediche ritenute utili.</w:t>
      </w:r>
    </w:p>
    <w:p w14:paraId="112813E6" w14:textId="77777777" w:rsidR="00994DE8" w:rsidRPr="00747106" w:rsidRDefault="00994DE8" w:rsidP="00994DE8">
      <w:pPr>
        <w:pStyle w:val="NormaleWeb"/>
        <w:rPr>
          <w:rFonts w:ascii="Calibri" w:hAnsi="Calibri" w:cs="Calibri Light"/>
          <w:sz w:val="22"/>
          <w:szCs w:val="22"/>
        </w:rPr>
      </w:pPr>
      <w:r w:rsidRPr="00747106">
        <w:rPr>
          <w:rFonts w:ascii="Calibri" w:hAnsi="Calibri" w:cs="Calibri Light"/>
          <w:sz w:val="22"/>
          <w:szCs w:val="22"/>
        </w:rPr>
        <w:lastRenderedPageBreak/>
        <w:t xml:space="preserve">Le modifiche normative proposte sono necessarie in quanto, come correttamente riportato dall’Agenzia, la norma deve essere intesa come tassativa e non meramente esemplificativa. </w:t>
      </w:r>
    </w:p>
    <w:p w14:paraId="37838968" w14:textId="77777777" w:rsidR="00994DE8" w:rsidRPr="00747106" w:rsidRDefault="00994DE8" w:rsidP="00994DE8">
      <w:pPr>
        <w:pStyle w:val="NormaleWeb"/>
        <w:rPr>
          <w:rFonts w:ascii="Calibri" w:hAnsi="Calibri" w:cs="Calibri Light"/>
          <w:sz w:val="22"/>
          <w:szCs w:val="22"/>
        </w:rPr>
      </w:pPr>
    </w:p>
    <w:p w14:paraId="6656B423" w14:textId="49901507" w:rsidR="00994DE8" w:rsidRPr="00747106" w:rsidRDefault="00994DE8" w:rsidP="00994DE8">
      <w:pPr>
        <w:pStyle w:val="NormaleWeb"/>
        <w:rPr>
          <w:rFonts w:ascii="Calibri" w:hAnsi="Calibri" w:cs="Calibri Light"/>
          <w:sz w:val="22"/>
          <w:szCs w:val="22"/>
        </w:rPr>
      </w:pPr>
      <w:proofErr w:type="gramStart"/>
      <w:r w:rsidRPr="00747106">
        <w:rPr>
          <w:rFonts w:ascii="Calibri" w:hAnsi="Calibri" w:cs="Calibri Light"/>
          <w:sz w:val="22"/>
          <w:szCs w:val="22"/>
        </w:rPr>
        <w:t>Tuttavia</w:t>
      </w:r>
      <w:proofErr w:type="gramEnd"/>
      <w:r w:rsidRPr="00747106">
        <w:rPr>
          <w:rFonts w:ascii="Calibri" w:hAnsi="Calibri" w:cs="Calibri Light"/>
          <w:sz w:val="22"/>
          <w:szCs w:val="22"/>
        </w:rPr>
        <w:t xml:space="preserve"> si rileva che, al contrario, l’elencazione dei beni fornita dalla Commissione Europea (cui l’Agenzia </w:t>
      </w:r>
      <w:proofErr w:type="spellStart"/>
      <w:r w:rsidRPr="00747106">
        <w:rPr>
          <w:rFonts w:ascii="Calibri" w:hAnsi="Calibri" w:cs="Calibri Light"/>
          <w:sz w:val="22"/>
          <w:szCs w:val="22"/>
        </w:rPr>
        <w:t>condivisibilmente</w:t>
      </w:r>
      <w:proofErr w:type="spellEnd"/>
      <w:r w:rsidRPr="00747106">
        <w:rPr>
          <w:rFonts w:ascii="Calibri" w:hAnsi="Calibri" w:cs="Calibri Light"/>
          <w:sz w:val="22"/>
          <w:szCs w:val="22"/>
        </w:rPr>
        <w:t xml:space="preserve"> rimanda) non è tassativa ma è stato consentito agli Stati membri di poter applicare il trattamento IVA agevolato anche ad altri beni ritenuti utili nel contrasto dell’epidemia. Per tale ragione, si ritiene che l’emendamento proponga una modifica normativa compatibile con le disposizioni comunitarie e al contempo con le </w:t>
      </w:r>
      <w:proofErr w:type="spellStart"/>
      <w:r w:rsidRPr="00747106">
        <w:rPr>
          <w:rFonts w:ascii="Calibri" w:hAnsi="Calibri" w:cs="Calibri Light"/>
          <w:sz w:val="22"/>
          <w:szCs w:val="22"/>
        </w:rPr>
        <w:t>finalita</w:t>
      </w:r>
      <w:proofErr w:type="spellEnd"/>
      <w:r w:rsidRPr="00747106">
        <w:rPr>
          <w:rFonts w:ascii="Calibri" w:hAnsi="Calibri" w:cs="Calibri Light"/>
          <w:sz w:val="22"/>
          <w:szCs w:val="22"/>
        </w:rPr>
        <w:t xml:space="preserve">̀ originariamente prefisse dall’articolo 124. </w:t>
      </w:r>
    </w:p>
    <w:p w14:paraId="14985DDF" w14:textId="77777777" w:rsidR="00994DE8" w:rsidRPr="00747106" w:rsidRDefault="00994DE8" w:rsidP="00994DE8">
      <w:pPr>
        <w:pStyle w:val="NormaleWeb"/>
        <w:rPr>
          <w:rFonts w:ascii="Calibri" w:hAnsi="Calibri" w:cs="Calibri Light"/>
          <w:sz w:val="22"/>
          <w:szCs w:val="22"/>
        </w:rPr>
      </w:pPr>
    </w:p>
    <w:p w14:paraId="274995BB" w14:textId="4C3B28C8" w:rsidR="00994DE8" w:rsidRPr="00747106" w:rsidRDefault="00994DE8" w:rsidP="00994DE8">
      <w:pPr>
        <w:pStyle w:val="NormaleWeb"/>
        <w:rPr>
          <w:rFonts w:ascii="Calibri" w:hAnsi="Calibri" w:cs="Calibri Light"/>
          <w:sz w:val="22"/>
          <w:szCs w:val="22"/>
        </w:rPr>
      </w:pPr>
      <w:r w:rsidRPr="00747106">
        <w:rPr>
          <w:rFonts w:ascii="Calibri" w:hAnsi="Calibri" w:cs="Calibri Light"/>
          <w:sz w:val="22"/>
          <w:szCs w:val="22"/>
        </w:rPr>
        <w:t xml:space="preserve">Infine, sebbene si condivida l’interpretazione fornita dall’Agenzia, in base alla quale non è consentita l’applicazione retroattiva della norma, si ricorda che l’aliquota pari a zero è consentita, in via provvisoria, solamente in </w:t>
      </w:r>
      <w:proofErr w:type="spellStart"/>
      <w:r w:rsidRPr="00747106">
        <w:rPr>
          <w:rFonts w:ascii="Calibri" w:hAnsi="Calibri" w:cs="Calibri Light"/>
          <w:sz w:val="22"/>
          <w:szCs w:val="22"/>
        </w:rPr>
        <w:t>virtu</w:t>
      </w:r>
      <w:proofErr w:type="spellEnd"/>
      <w:r w:rsidRPr="00747106">
        <w:rPr>
          <w:rFonts w:ascii="Calibri" w:hAnsi="Calibri" w:cs="Calibri Light"/>
          <w:sz w:val="22"/>
          <w:szCs w:val="22"/>
        </w:rPr>
        <w:t xml:space="preserve">̀ della decisione della Commissione Europea del 3 aprile 2020 che ha autorizzato gli Stati membri ad introdurre una disciplina agevolata sui beni utili a fronteggiare l’emergenza da COVID-19. Per tale ragione, in linea con quanto disposto a livello comunitario, l’emendamento propone una modifica normativa che consenta l’applicazione del trattamento agevolato sin dall’inizio del periodo emergenziale. </w:t>
      </w:r>
    </w:p>
    <w:p w14:paraId="5E64FAAB" w14:textId="77777777" w:rsidR="00994DE8" w:rsidRPr="00747106" w:rsidRDefault="00994DE8" w:rsidP="00994DE8">
      <w:pPr>
        <w:pStyle w:val="NormaleWeb"/>
        <w:rPr>
          <w:rFonts w:ascii="Calibri" w:hAnsi="Calibri" w:cs="Calibri Light"/>
          <w:sz w:val="22"/>
          <w:szCs w:val="22"/>
        </w:rPr>
      </w:pPr>
    </w:p>
    <w:p w14:paraId="4D01F9CE" w14:textId="3455E5FD" w:rsidR="00994DE8" w:rsidRPr="00747106" w:rsidRDefault="00994DE8" w:rsidP="00994DE8">
      <w:pPr>
        <w:pStyle w:val="NormaleWeb"/>
        <w:rPr>
          <w:rFonts w:ascii="Calibri" w:hAnsi="Calibri" w:cs="Calibri Light"/>
          <w:sz w:val="22"/>
          <w:szCs w:val="22"/>
        </w:rPr>
      </w:pPr>
      <w:r w:rsidRPr="00747106">
        <w:rPr>
          <w:rFonts w:ascii="Calibri" w:hAnsi="Calibri" w:cs="Calibri Light"/>
          <w:sz w:val="22"/>
          <w:szCs w:val="22"/>
        </w:rPr>
        <w:t xml:space="preserve">Al riguardo, si coglie l’occasione per chiarire che la Commissione Europea non ha subordinato l’applicazione dell’agevolazione all’obbligo di fornire la prova dell’effettiva destinazione dei beni alla gestione dell’emergenza e, parimenti, la disciplina nazionale non ha introdotto ulteriori adempimenti per poter applicare l’aliquota zero. Pertanto, si ritiene che, una volta individuato il perimetro oggettivo di applicazione dell’articolo 124, l’aliquota zero per il 2020 e l’aliquota IVA del 5%, dal 2021, si applichino a tutte le cessioni rilevanti nel territorio dello Stato, indipendentemente dalla destinazione finale dei beni o dalla natura del cessionario. </w:t>
      </w:r>
    </w:p>
    <w:p w14:paraId="5FD929A1" w14:textId="77777777" w:rsidR="00994DE8" w:rsidRPr="00747106" w:rsidRDefault="00994DE8" w:rsidP="00994DE8">
      <w:pPr>
        <w:pStyle w:val="NormaleWeb"/>
        <w:rPr>
          <w:rFonts w:ascii="Calibri" w:hAnsi="Calibri" w:cs="Calibri Light"/>
          <w:sz w:val="22"/>
          <w:szCs w:val="22"/>
        </w:rPr>
      </w:pPr>
    </w:p>
    <w:p w14:paraId="291EDE81" w14:textId="77777777" w:rsidR="00994DE8" w:rsidRPr="00747106" w:rsidRDefault="00994DE8" w:rsidP="00994DE8">
      <w:pPr>
        <w:rPr>
          <w:rFonts w:ascii="Calibri" w:hAnsi="Calibri" w:cs="Calibri Light"/>
          <w:sz w:val="22"/>
          <w:szCs w:val="22"/>
        </w:rPr>
      </w:pPr>
    </w:p>
    <w:p w14:paraId="007D55C3" w14:textId="77777777" w:rsidR="00084DD6" w:rsidRPr="00747106" w:rsidRDefault="00084DD6" w:rsidP="00084DD6">
      <w:pPr>
        <w:pStyle w:val="NormaleWeb"/>
        <w:spacing w:after="150"/>
        <w:rPr>
          <w:rFonts w:ascii="Calibri" w:hAnsi="Calibri" w:cs="Calibri Light"/>
          <w:color w:val="1C2024"/>
          <w:sz w:val="22"/>
          <w:szCs w:val="22"/>
        </w:rPr>
      </w:pPr>
    </w:p>
    <w:p w14:paraId="21FD47BF" w14:textId="6BAF4EC4" w:rsidR="00091677" w:rsidRDefault="00091677" w:rsidP="008009D5">
      <w:pPr>
        <w:tabs>
          <w:tab w:val="left" w:pos="720"/>
          <w:tab w:val="left" w:pos="900"/>
          <w:tab w:val="left" w:pos="1260"/>
          <w:tab w:val="left" w:pos="5580"/>
          <w:tab w:val="left" w:pos="6120"/>
        </w:tabs>
        <w:ind w:right="-2"/>
        <w:rPr>
          <w:rFonts w:ascii="Calibri" w:hAnsi="Calibri" w:cs="Calibri"/>
          <w:b/>
          <w:bCs/>
          <w:sz w:val="22"/>
          <w:szCs w:val="22"/>
        </w:rPr>
      </w:pPr>
    </w:p>
    <w:p w14:paraId="3F6D970F" w14:textId="77777777" w:rsidR="00084DD6" w:rsidRDefault="00084DD6" w:rsidP="008009D5">
      <w:pPr>
        <w:tabs>
          <w:tab w:val="left" w:pos="720"/>
          <w:tab w:val="left" w:pos="900"/>
          <w:tab w:val="left" w:pos="1260"/>
          <w:tab w:val="left" w:pos="5580"/>
          <w:tab w:val="left" w:pos="6120"/>
        </w:tabs>
        <w:ind w:right="-2"/>
        <w:rPr>
          <w:rFonts w:ascii="Calibri" w:hAnsi="Calibri" w:cs="Calibri"/>
          <w:b/>
          <w:bCs/>
          <w:sz w:val="22"/>
          <w:szCs w:val="22"/>
        </w:rPr>
      </w:pPr>
    </w:p>
    <w:p w14:paraId="7C7AA374" w14:textId="49216A71" w:rsidR="001A46F2" w:rsidRDefault="001A46F2" w:rsidP="008009D5">
      <w:pPr>
        <w:tabs>
          <w:tab w:val="left" w:pos="720"/>
          <w:tab w:val="left" w:pos="900"/>
          <w:tab w:val="left" w:pos="1260"/>
          <w:tab w:val="left" w:pos="5580"/>
          <w:tab w:val="left" w:pos="6120"/>
        </w:tabs>
        <w:ind w:right="-2"/>
        <w:rPr>
          <w:rFonts w:ascii="Calibri" w:hAnsi="Calibri" w:cs="Calibri"/>
          <w:b/>
          <w:bCs/>
          <w:sz w:val="22"/>
          <w:szCs w:val="22"/>
        </w:rPr>
      </w:pPr>
      <w:r>
        <w:rPr>
          <w:rFonts w:ascii="Calibri" w:hAnsi="Calibri" w:cs="Calibri"/>
          <w:b/>
          <w:bCs/>
          <w:sz w:val="22"/>
          <w:szCs w:val="22"/>
        </w:rPr>
        <w:t>Riferimenti:</w:t>
      </w:r>
    </w:p>
    <w:p w14:paraId="6B7FC09A" w14:textId="0C3586A2" w:rsidR="008009D5" w:rsidRPr="001A46F2"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1A46F2">
        <w:rPr>
          <w:rFonts w:ascii="Calibri" w:hAnsi="Calibri" w:cs="Calibri"/>
          <w:sz w:val="22"/>
          <w:szCs w:val="22"/>
        </w:rPr>
        <w:t>Area Economia di Impresa</w:t>
      </w:r>
    </w:p>
    <w:p w14:paraId="1F0CCBFC" w14:textId="182D3D4E"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Alessandro Castagnino Tel. 075 5820230 – Cell. 335 7175365 </w:t>
      </w:r>
    </w:p>
    <w:p w14:paraId="48FA35B9"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A82347">
        <w:rPr>
          <w:rFonts w:ascii="Calibri" w:hAnsi="Calibri" w:cs="Calibri"/>
          <w:sz w:val="22"/>
          <w:szCs w:val="22"/>
          <w:lang w:val="en-US"/>
        </w:rPr>
        <w:t xml:space="preserve">Email: </w:t>
      </w:r>
      <w:r w:rsidR="008A68D2">
        <w:fldChar w:fldCharType="begin"/>
      </w:r>
      <w:r w:rsidR="008A68D2" w:rsidRPr="00747106">
        <w:rPr>
          <w:lang w:val="en-US"/>
        </w:rPr>
        <w:instrText xml:space="preserve"> HYPERLINK "mailto:castagnino@confindustria.umbria.it" </w:instrText>
      </w:r>
      <w:r w:rsidR="008A68D2">
        <w:fldChar w:fldCharType="separate"/>
      </w:r>
      <w:r w:rsidRPr="00A82347">
        <w:rPr>
          <w:rFonts w:ascii="Calibri" w:hAnsi="Calibri" w:cs="Calibri"/>
          <w:color w:val="0000FF"/>
          <w:sz w:val="22"/>
          <w:szCs w:val="22"/>
          <w:u w:val="single"/>
          <w:lang w:val="en-US"/>
        </w:rPr>
        <w:t>castagnino@confindustria.umbria.it</w:t>
      </w:r>
      <w:r w:rsidR="008A68D2">
        <w:rPr>
          <w:rFonts w:ascii="Calibri" w:hAnsi="Calibri" w:cs="Calibri"/>
          <w:color w:val="0000FF"/>
          <w:sz w:val="22"/>
          <w:szCs w:val="22"/>
          <w:u w:val="single"/>
          <w:lang w:val="en-US"/>
        </w:rPr>
        <w:fldChar w:fldCharType="end"/>
      </w:r>
      <w:r w:rsidRPr="00A82347">
        <w:rPr>
          <w:rFonts w:ascii="Calibri" w:hAnsi="Calibri" w:cs="Calibri"/>
          <w:sz w:val="22"/>
          <w:szCs w:val="22"/>
          <w:lang w:val="en-US"/>
        </w:rPr>
        <w:br/>
      </w:r>
    </w:p>
    <w:p w14:paraId="41EBD65E"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Valentina Vignaroli Tel. 075 5820209 – Cell. 338 6493886  </w:t>
      </w:r>
    </w:p>
    <w:p w14:paraId="0F8BBE07" w14:textId="77777777" w:rsidR="008009D5" w:rsidRPr="00747106"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747106">
        <w:rPr>
          <w:rFonts w:ascii="Calibri" w:hAnsi="Calibri" w:cs="Calibri"/>
          <w:sz w:val="22"/>
          <w:szCs w:val="22"/>
        </w:rPr>
        <w:t xml:space="preserve">Email: </w:t>
      </w:r>
      <w:r w:rsidR="008A68D2">
        <w:fldChar w:fldCharType="begin"/>
      </w:r>
      <w:r w:rsidR="008A68D2">
        <w:instrText xml:space="preserve"> HYPERLINK "mailto:vignaroli@confindustria.umbria.it" </w:instrText>
      </w:r>
      <w:r w:rsidR="008A68D2">
        <w:fldChar w:fldCharType="separate"/>
      </w:r>
      <w:r w:rsidRPr="00747106">
        <w:rPr>
          <w:rFonts w:ascii="Calibri" w:hAnsi="Calibri" w:cs="Calibri"/>
          <w:color w:val="0000FF"/>
          <w:sz w:val="22"/>
          <w:szCs w:val="22"/>
          <w:u w:val="single"/>
        </w:rPr>
        <w:t>vignaroli@confindustria.umbria.it</w:t>
      </w:r>
      <w:r w:rsidR="008A68D2">
        <w:rPr>
          <w:rFonts w:ascii="Calibri" w:hAnsi="Calibri" w:cs="Calibri"/>
          <w:color w:val="0000FF"/>
          <w:sz w:val="22"/>
          <w:szCs w:val="22"/>
          <w:u w:val="single"/>
          <w:lang w:val="en-US"/>
        </w:rPr>
        <w:fldChar w:fldCharType="end"/>
      </w:r>
      <w:r w:rsidRPr="00747106">
        <w:rPr>
          <w:rFonts w:ascii="Calibri" w:hAnsi="Calibri" w:cs="Calibri"/>
          <w:sz w:val="22"/>
          <w:szCs w:val="22"/>
        </w:rPr>
        <w:br/>
      </w:r>
    </w:p>
    <w:p w14:paraId="7F05B8E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Paola Roscini Tel. 075 5820220 – Cell. 329 9261061 </w:t>
      </w:r>
    </w:p>
    <w:p w14:paraId="1993761F"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proofErr w:type="gramStart"/>
      <w:r w:rsidRPr="00A82347">
        <w:rPr>
          <w:rFonts w:ascii="Calibri" w:hAnsi="Calibri" w:cs="Calibri"/>
          <w:sz w:val="22"/>
          <w:szCs w:val="22"/>
        </w:rPr>
        <w:t>Email</w:t>
      </w:r>
      <w:proofErr w:type="gramEnd"/>
      <w:r w:rsidRPr="00A82347">
        <w:rPr>
          <w:rFonts w:ascii="Calibri" w:hAnsi="Calibri" w:cs="Calibri"/>
          <w:sz w:val="22"/>
          <w:szCs w:val="22"/>
        </w:rPr>
        <w:t>: </w:t>
      </w:r>
      <w:hyperlink r:id="rId7" w:history="1">
        <w:r w:rsidRPr="00A82347">
          <w:rPr>
            <w:rFonts w:ascii="Calibri" w:hAnsi="Calibri" w:cs="Calibri"/>
            <w:color w:val="0000FF"/>
            <w:sz w:val="22"/>
            <w:szCs w:val="22"/>
            <w:u w:val="single"/>
          </w:rPr>
          <w:t>roscini@confindustria.umbria.it</w:t>
        </w:r>
      </w:hyperlink>
    </w:p>
    <w:p w14:paraId="389CE1E4" w14:textId="77777777" w:rsidR="005A6420" w:rsidRPr="00777439" w:rsidRDefault="005A6420" w:rsidP="008009D5">
      <w:pPr>
        <w:tabs>
          <w:tab w:val="left" w:pos="720"/>
          <w:tab w:val="left" w:pos="900"/>
          <w:tab w:val="left" w:pos="1260"/>
          <w:tab w:val="left" w:pos="5580"/>
          <w:tab w:val="left" w:pos="6120"/>
        </w:tabs>
        <w:ind w:right="-2"/>
        <w:jc w:val="both"/>
        <w:rPr>
          <w:rFonts w:ascii="Calibri" w:hAnsi="Calibri" w:cs="Calibri"/>
          <w:sz w:val="22"/>
          <w:szCs w:val="22"/>
        </w:rPr>
      </w:pPr>
    </w:p>
    <w:p w14:paraId="310C91E3" w14:textId="77777777" w:rsidR="0091416E" w:rsidRPr="00777439" w:rsidRDefault="0091416E"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4A457965" w14:textId="40E0A07B" w:rsidR="00134010" w:rsidRPr="00777439" w:rsidRDefault="0013401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04797544" w14:textId="77777777" w:rsidR="00F33005" w:rsidRPr="00777439" w:rsidRDefault="00F33005"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664EFFEA" w14:textId="77777777" w:rsidR="005A6420" w:rsidRPr="00777439" w:rsidRDefault="005A642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311AC975" w:rsidR="00783E6E" w:rsidRPr="00777439" w:rsidRDefault="00952E48" w:rsidP="00D27A1C">
      <w:pPr>
        <w:tabs>
          <w:tab w:val="left" w:pos="720"/>
          <w:tab w:val="left" w:pos="900"/>
          <w:tab w:val="left" w:pos="1260"/>
          <w:tab w:val="left" w:pos="5580"/>
          <w:tab w:val="left" w:pos="6120"/>
        </w:tabs>
        <w:ind w:left="142" w:right="-2"/>
        <w:jc w:val="right"/>
        <w:rPr>
          <w:rFonts w:ascii="Calibri" w:hAnsi="Calibri" w:cs="Calibri"/>
          <w:sz w:val="22"/>
          <w:szCs w:val="22"/>
        </w:rPr>
      </w:pPr>
      <w:r w:rsidRPr="00A00EBE">
        <w:rPr>
          <w:rFonts w:ascii="Calibri" w:hAnsi="Calibri" w:cs="Calibri"/>
          <w:sz w:val="22"/>
          <w:szCs w:val="22"/>
        </w:rPr>
        <w:t xml:space="preserve">Pubblicato il </w:t>
      </w:r>
      <w:r w:rsidR="002360B0">
        <w:rPr>
          <w:rFonts w:ascii="Calibri" w:hAnsi="Calibri" w:cs="Calibri"/>
          <w:sz w:val="22"/>
          <w:szCs w:val="22"/>
        </w:rPr>
        <w:t>0</w:t>
      </w:r>
      <w:r w:rsidR="00084DD6">
        <w:rPr>
          <w:rFonts w:ascii="Calibri" w:hAnsi="Calibri" w:cs="Calibri"/>
          <w:sz w:val="22"/>
          <w:szCs w:val="22"/>
        </w:rPr>
        <w:t>8</w:t>
      </w:r>
      <w:r w:rsidR="00A66B46" w:rsidRPr="00A00EBE">
        <w:rPr>
          <w:rFonts w:ascii="Calibri" w:hAnsi="Calibri" w:cs="Calibri"/>
          <w:sz w:val="22"/>
          <w:szCs w:val="22"/>
        </w:rPr>
        <w:t>/0</w:t>
      </w:r>
      <w:r w:rsidR="002360B0">
        <w:rPr>
          <w:rFonts w:ascii="Calibri" w:hAnsi="Calibri" w:cs="Calibri"/>
          <w:sz w:val="22"/>
          <w:szCs w:val="22"/>
        </w:rPr>
        <w:t>6</w:t>
      </w:r>
      <w:r w:rsidR="00A66B46" w:rsidRPr="00A00EBE">
        <w:rPr>
          <w:rFonts w:ascii="Calibri" w:hAnsi="Calibri" w:cs="Calibri"/>
          <w:sz w:val="22"/>
          <w:szCs w:val="22"/>
        </w:rPr>
        <w:t>/2020</w:t>
      </w:r>
    </w:p>
    <w:sectPr w:rsidR="00783E6E" w:rsidRPr="00777439" w:rsidSect="004E62C8">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6784B" w14:textId="77777777" w:rsidR="008A68D2" w:rsidRDefault="008A68D2">
      <w:r>
        <w:separator/>
      </w:r>
    </w:p>
  </w:endnote>
  <w:endnote w:type="continuationSeparator" w:id="0">
    <w:p w14:paraId="2F9D43CE" w14:textId="77777777" w:rsidR="008A68D2" w:rsidRDefault="008A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LT Book">
    <w:altName w:val="Century Gothic"/>
    <w:panose1 w:val="02000504030000020003"/>
    <w:charset w:val="00"/>
    <w:family w:val="auto"/>
    <w:pitch w:val="variable"/>
    <w:sig w:usb0="00000003" w:usb1="00000000" w:usb2="00000000" w:usb3="00000000" w:csb0="00000001" w:csb1="00000000"/>
  </w:font>
  <w:font w:name="Futura LT Light">
    <w:altName w:val="Century Gothic"/>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D49CE" w14:textId="77777777" w:rsidR="008A68D2" w:rsidRDefault="008A68D2">
      <w:r>
        <w:separator/>
      </w:r>
    </w:p>
  </w:footnote>
  <w:footnote w:type="continuationSeparator" w:id="0">
    <w:p w14:paraId="38323A58" w14:textId="77777777" w:rsidR="008A68D2" w:rsidRDefault="008A6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8A68D2">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1.3pt;height:38.8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295D8C"/>
    <w:multiLevelType w:val="multilevel"/>
    <w:tmpl w:val="319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4E2F30"/>
    <w:multiLevelType w:val="hybridMultilevel"/>
    <w:tmpl w:val="882EB2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7"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BD759B1"/>
    <w:multiLevelType w:val="hybridMultilevel"/>
    <w:tmpl w:val="6A8E69E8"/>
    <w:lvl w:ilvl="0" w:tplc="2F3A281E">
      <w:start w:val="3"/>
      <w:numFmt w:val="bullet"/>
      <w:lvlText w:val="-"/>
      <w:lvlJc w:val="left"/>
      <w:pPr>
        <w:ind w:left="720" w:hanging="360"/>
      </w:pPr>
      <w:rPr>
        <w:rFonts w:ascii="Calibri Light" w:eastAsia="Times New Roman" w:hAnsi="Calibri Light" w:cs="Calibr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10"/>
  </w:num>
  <w:num w:numId="5">
    <w:abstractNumId w:val="2"/>
  </w:num>
  <w:num w:numId="6">
    <w:abstractNumId w:val="11"/>
  </w:num>
  <w:num w:numId="7">
    <w:abstractNumId w:val="14"/>
  </w:num>
  <w:num w:numId="8">
    <w:abstractNumId w:val="22"/>
  </w:num>
  <w:num w:numId="9">
    <w:abstractNumId w:val="26"/>
  </w:num>
  <w:num w:numId="10">
    <w:abstractNumId w:val="21"/>
  </w:num>
  <w:num w:numId="11">
    <w:abstractNumId w:val="12"/>
  </w:num>
  <w:num w:numId="12">
    <w:abstractNumId w:val="20"/>
  </w:num>
  <w:num w:numId="13">
    <w:abstractNumId w:val="5"/>
  </w:num>
  <w:num w:numId="14">
    <w:abstractNumId w:val="9"/>
  </w:num>
  <w:num w:numId="15">
    <w:abstractNumId w:val="0"/>
  </w:num>
  <w:num w:numId="16">
    <w:abstractNumId w:val="3"/>
  </w:num>
  <w:num w:numId="17">
    <w:abstractNumId w:val="16"/>
  </w:num>
  <w:num w:numId="18">
    <w:abstractNumId w:val="1"/>
  </w:num>
  <w:num w:numId="19">
    <w:abstractNumId w:val="23"/>
  </w:num>
  <w:num w:numId="20">
    <w:abstractNumId w:val="17"/>
  </w:num>
  <w:num w:numId="21">
    <w:abstractNumId w:val="7"/>
  </w:num>
  <w:num w:numId="22">
    <w:abstractNumId w:val="25"/>
  </w:num>
  <w:num w:numId="23">
    <w:abstractNumId w:val="13"/>
  </w:num>
  <w:num w:numId="24">
    <w:abstractNumId w:val="8"/>
  </w:num>
  <w:num w:numId="25">
    <w:abstractNumId w:val="4"/>
  </w:num>
  <w:num w:numId="26">
    <w:abstractNumId w:val="6"/>
  </w:num>
  <w:num w:numId="27">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14F9"/>
    <w:rsid w:val="000625BE"/>
    <w:rsid w:val="000637F2"/>
    <w:rsid w:val="00080ADD"/>
    <w:rsid w:val="00084DD6"/>
    <w:rsid w:val="00086200"/>
    <w:rsid w:val="00087150"/>
    <w:rsid w:val="0009085F"/>
    <w:rsid w:val="00091677"/>
    <w:rsid w:val="000B06C6"/>
    <w:rsid w:val="000B2103"/>
    <w:rsid w:val="000C53BB"/>
    <w:rsid w:val="000D0123"/>
    <w:rsid w:val="000D36C6"/>
    <w:rsid w:val="000D4668"/>
    <w:rsid w:val="000D4ADA"/>
    <w:rsid w:val="000E38C9"/>
    <w:rsid w:val="000E5391"/>
    <w:rsid w:val="000E6DB1"/>
    <w:rsid w:val="00100C48"/>
    <w:rsid w:val="0010566D"/>
    <w:rsid w:val="00126D4F"/>
    <w:rsid w:val="001311CA"/>
    <w:rsid w:val="00134010"/>
    <w:rsid w:val="00136808"/>
    <w:rsid w:val="00151B1D"/>
    <w:rsid w:val="00151BDD"/>
    <w:rsid w:val="00160F19"/>
    <w:rsid w:val="001674E2"/>
    <w:rsid w:val="00172666"/>
    <w:rsid w:val="00181F9E"/>
    <w:rsid w:val="001867E9"/>
    <w:rsid w:val="001A0EA6"/>
    <w:rsid w:val="001A46F2"/>
    <w:rsid w:val="001A61DB"/>
    <w:rsid w:val="001B0373"/>
    <w:rsid w:val="001B1366"/>
    <w:rsid w:val="001C016B"/>
    <w:rsid w:val="001C5C73"/>
    <w:rsid w:val="001D46AD"/>
    <w:rsid w:val="001D783D"/>
    <w:rsid w:val="001D7F3D"/>
    <w:rsid w:val="001E0909"/>
    <w:rsid w:val="001E1A02"/>
    <w:rsid w:val="001E720B"/>
    <w:rsid w:val="001F202A"/>
    <w:rsid w:val="001F3465"/>
    <w:rsid w:val="001F48AB"/>
    <w:rsid w:val="0020292B"/>
    <w:rsid w:val="00206722"/>
    <w:rsid w:val="00210ED4"/>
    <w:rsid w:val="002113BA"/>
    <w:rsid w:val="002166C4"/>
    <w:rsid w:val="002216DD"/>
    <w:rsid w:val="0022540F"/>
    <w:rsid w:val="00230989"/>
    <w:rsid w:val="002360B0"/>
    <w:rsid w:val="002375D8"/>
    <w:rsid w:val="00237B46"/>
    <w:rsid w:val="00242295"/>
    <w:rsid w:val="00254095"/>
    <w:rsid w:val="00262647"/>
    <w:rsid w:val="002650B4"/>
    <w:rsid w:val="002655A5"/>
    <w:rsid w:val="00265FD1"/>
    <w:rsid w:val="00267F8E"/>
    <w:rsid w:val="00270D53"/>
    <w:rsid w:val="0027190F"/>
    <w:rsid w:val="00271FB0"/>
    <w:rsid w:val="0027421E"/>
    <w:rsid w:val="002743DA"/>
    <w:rsid w:val="002905C3"/>
    <w:rsid w:val="00293463"/>
    <w:rsid w:val="00297F87"/>
    <w:rsid w:val="002A6DFD"/>
    <w:rsid w:val="002B7EEB"/>
    <w:rsid w:val="002D246E"/>
    <w:rsid w:val="002D2B28"/>
    <w:rsid w:val="002E4047"/>
    <w:rsid w:val="00300CDB"/>
    <w:rsid w:val="00306EA7"/>
    <w:rsid w:val="003114C4"/>
    <w:rsid w:val="00322EE8"/>
    <w:rsid w:val="00326815"/>
    <w:rsid w:val="003347DC"/>
    <w:rsid w:val="0034265F"/>
    <w:rsid w:val="00363BF8"/>
    <w:rsid w:val="00377E37"/>
    <w:rsid w:val="00385BAE"/>
    <w:rsid w:val="003944BF"/>
    <w:rsid w:val="00395392"/>
    <w:rsid w:val="003A759E"/>
    <w:rsid w:val="003B6D95"/>
    <w:rsid w:val="003B7ED2"/>
    <w:rsid w:val="003C19FB"/>
    <w:rsid w:val="003E5874"/>
    <w:rsid w:val="0041047E"/>
    <w:rsid w:val="0041177C"/>
    <w:rsid w:val="0042052A"/>
    <w:rsid w:val="004353E3"/>
    <w:rsid w:val="004414A4"/>
    <w:rsid w:val="00442812"/>
    <w:rsid w:val="004435C3"/>
    <w:rsid w:val="00445DF1"/>
    <w:rsid w:val="00454209"/>
    <w:rsid w:val="00465747"/>
    <w:rsid w:val="00472D2B"/>
    <w:rsid w:val="00474ADE"/>
    <w:rsid w:val="00483E55"/>
    <w:rsid w:val="004A2213"/>
    <w:rsid w:val="004A43B9"/>
    <w:rsid w:val="004A5095"/>
    <w:rsid w:val="004B0EF1"/>
    <w:rsid w:val="004B5C7B"/>
    <w:rsid w:val="004B691C"/>
    <w:rsid w:val="004C1CE6"/>
    <w:rsid w:val="004C2CC8"/>
    <w:rsid w:val="004D48E8"/>
    <w:rsid w:val="004D4957"/>
    <w:rsid w:val="004E0C94"/>
    <w:rsid w:val="004E62C8"/>
    <w:rsid w:val="004F2D22"/>
    <w:rsid w:val="00517FCD"/>
    <w:rsid w:val="00520F32"/>
    <w:rsid w:val="0053112D"/>
    <w:rsid w:val="00531CA4"/>
    <w:rsid w:val="00532215"/>
    <w:rsid w:val="00532542"/>
    <w:rsid w:val="00546306"/>
    <w:rsid w:val="00552D0E"/>
    <w:rsid w:val="005615FE"/>
    <w:rsid w:val="00565BA4"/>
    <w:rsid w:val="00570DF9"/>
    <w:rsid w:val="00571AA5"/>
    <w:rsid w:val="00580D22"/>
    <w:rsid w:val="005952A0"/>
    <w:rsid w:val="005A2FBD"/>
    <w:rsid w:val="005A6420"/>
    <w:rsid w:val="005A68AC"/>
    <w:rsid w:val="005B68CD"/>
    <w:rsid w:val="005C488C"/>
    <w:rsid w:val="005D2783"/>
    <w:rsid w:val="005D3F4A"/>
    <w:rsid w:val="005D58C7"/>
    <w:rsid w:val="005E05F4"/>
    <w:rsid w:val="005E29D1"/>
    <w:rsid w:val="005E2A6A"/>
    <w:rsid w:val="005E5E6F"/>
    <w:rsid w:val="005E694F"/>
    <w:rsid w:val="005F136F"/>
    <w:rsid w:val="00600B26"/>
    <w:rsid w:val="00606C5A"/>
    <w:rsid w:val="0061424A"/>
    <w:rsid w:val="00617528"/>
    <w:rsid w:val="00633A04"/>
    <w:rsid w:val="00635558"/>
    <w:rsid w:val="006370DF"/>
    <w:rsid w:val="006411A6"/>
    <w:rsid w:val="006411DF"/>
    <w:rsid w:val="00654840"/>
    <w:rsid w:val="00662EE8"/>
    <w:rsid w:val="00673C44"/>
    <w:rsid w:val="00684F34"/>
    <w:rsid w:val="00686CD4"/>
    <w:rsid w:val="0069445C"/>
    <w:rsid w:val="00696623"/>
    <w:rsid w:val="006A2CD6"/>
    <w:rsid w:val="006C0F54"/>
    <w:rsid w:val="006C5530"/>
    <w:rsid w:val="006C6827"/>
    <w:rsid w:val="006D0A9E"/>
    <w:rsid w:val="006D187D"/>
    <w:rsid w:val="006E4E22"/>
    <w:rsid w:val="006E64CC"/>
    <w:rsid w:val="006E71D6"/>
    <w:rsid w:val="006F3D2C"/>
    <w:rsid w:val="006F4A89"/>
    <w:rsid w:val="007006D5"/>
    <w:rsid w:val="00706997"/>
    <w:rsid w:val="00710780"/>
    <w:rsid w:val="007120A3"/>
    <w:rsid w:val="007212D6"/>
    <w:rsid w:val="00721719"/>
    <w:rsid w:val="007248A8"/>
    <w:rsid w:val="00724906"/>
    <w:rsid w:val="007268E0"/>
    <w:rsid w:val="007278BF"/>
    <w:rsid w:val="00727E86"/>
    <w:rsid w:val="00730857"/>
    <w:rsid w:val="007336E8"/>
    <w:rsid w:val="00744DE8"/>
    <w:rsid w:val="00747106"/>
    <w:rsid w:val="0075722D"/>
    <w:rsid w:val="00764518"/>
    <w:rsid w:val="00777439"/>
    <w:rsid w:val="00783E6E"/>
    <w:rsid w:val="007846D1"/>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200"/>
    <w:rsid w:val="007F7D2A"/>
    <w:rsid w:val="008009D5"/>
    <w:rsid w:val="00801AE3"/>
    <w:rsid w:val="0080382C"/>
    <w:rsid w:val="008050CE"/>
    <w:rsid w:val="00812C76"/>
    <w:rsid w:val="00814B6A"/>
    <w:rsid w:val="0082055D"/>
    <w:rsid w:val="00827AA4"/>
    <w:rsid w:val="0083206A"/>
    <w:rsid w:val="008324D4"/>
    <w:rsid w:val="00842CAC"/>
    <w:rsid w:val="00846546"/>
    <w:rsid w:val="0089242A"/>
    <w:rsid w:val="00895D5A"/>
    <w:rsid w:val="008A68D2"/>
    <w:rsid w:val="008B5620"/>
    <w:rsid w:val="008C21F3"/>
    <w:rsid w:val="008C6FB9"/>
    <w:rsid w:val="008D047B"/>
    <w:rsid w:val="008E4D83"/>
    <w:rsid w:val="008F7F38"/>
    <w:rsid w:val="0091416E"/>
    <w:rsid w:val="009218B7"/>
    <w:rsid w:val="0092313F"/>
    <w:rsid w:val="00924F70"/>
    <w:rsid w:val="009259DA"/>
    <w:rsid w:val="00930421"/>
    <w:rsid w:val="00933A9A"/>
    <w:rsid w:val="00935FD9"/>
    <w:rsid w:val="00936AC3"/>
    <w:rsid w:val="009439A2"/>
    <w:rsid w:val="00943AF3"/>
    <w:rsid w:val="00947B49"/>
    <w:rsid w:val="00951362"/>
    <w:rsid w:val="00952E48"/>
    <w:rsid w:val="0095764F"/>
    <w:rsid w:val="00962B81"/>
    <w:rsid w:val="00964D43"/>
    <w:rsid w:val="0096617B"/>
    <w:rsid w:val="00972881"/>
    <w:rsid w:val="00994DE8"/>
    <w:rsid w:val="009A181B"/>
    <w:rsid w:val="009A600B"/>
    <w:rsid w:val="009B370B"/>
    <w:rsid w:val="009B6DA0"/>
    <w:rsid w:val="009B7F38"/>
    <w:rsid w:val="009C5511"/>
    <w:rsid w:val="009C66FF"/>
    <w:rsid w:val="009D0AE2"/>
    <w:rsid w:val="009D26C3"/>
    <w:rsid w:val="009D42AF"/>
    <w:rsid w:val="009E0FC5"/>
    <w:rsid w:val="009E313A"/>
    <w:rsid w:val="009E718E"/>
    <w:rsid w:val="009F00C9"/>
    <w:rsid w:val="009F30D5"/>
    <w:rsid w:val="009F6C25"/>
    <w:rsid w:val="009F77CF"/>
    <w:rsid w:val="00A00CC0"/>
    <w:rsid w:val="00A00EBE"/>
    <w:rsid w:val="00A02167"/>
    <w:rsid w:val="00A029CB"/>
    <w:rsid w:val="00A029FA"/>
    <w:rsid w:val="00A100C9"/>
    <w:rsid w:val="00A108C5"/>
    <w:rsid w:val="00A12007"/>
    <w:rsid w:val="00A2160D"/>
    <w:rsid w:val="00A238E8"/>
    <w:rsid w:val="00A24ACC"/>
    <w:rsid w:val="00A27F82"/>
    <w:rsid w:val="00A35E9C"/>
    <w:rsid w:val="00A421FD"/>
    <w:rsid w:val="00A554C8"/>
    <w:rsid w:val="00A5706E"/>
    <w:rsid w:val="00A60F3E"/>
    <w:rsid w:val="00A65A7B"/>
    <w:rsid w:val="00A66073"/>
    <w:rsid w:val="00A66B46"/>
    <w:rsid w:val="00A72245"/>
    <w:rsid w:val="00A7325D"/>
    <w:rsid w:val="00A874BE"/>
    <w:rsid w:val="00A92403"/>
    <w:rsid w:val="00AA755B"/>
    <w:rsid w:val="00AA7A03"/>
    <w:rsid w:val="00AB5961"/>
    <w:rsid w:val="00AC09F6"/>
    <w:rsid w:val="00AC0DA4"/>
    <w:rsid w:val="00AC1A58"/>
    <w:rsid w:val="00AC363E"/>
    <w:rsid w:val="00AD53C0"/>
    <w:rsid w:val="00AD6736"/>
    <w:rsid w:val="00AE3B49"/>
    <w:rsid w:val="00AE4116"/>
    <w:rsid w:val="00AE4612"/>
    <w:rsid w:val="00AE484B"/>
    <w:rsid w:val="00AE7C4C"/>
    <w:rsid w:val="00AF1207"/>
    <w:rsid w:val="00AF303A"/>
    <w:rsid w:val="00AF4404"/>
    <w:rsid w:val="00AF4D79"/>
    <w:rsid w:val="00AF6300"/>
    <w:rsid w:val="00B1385A"/>
    <w:rsid w:val="00B20995"/>
    <w:rsid w:val="00B27B4F"/>
    <w:rsid w:val="00B27DA0"/>
    <w:rsid w:val="00B34B96"/>
    <w:rsid w:val="00B44EC6"/>
    <w:rsid w:val="00B55997"/>
    <w:rsid w:val="00B56F41"/>
    <w:rsid w:val="00B74B3D"/>
    <w:rsid w:val="00B90950"/>
    <w:rsid w:val="00B954F6"/>
    <w:rsid w:val="00B9787B"/>
    <w:rsid w:val="00B97A78"/>
    <w:rsid w:val="00BA3F4B"/>
    <w:rsid w:val="00BA6BD6"/>
    <w:rsid w:val="00BA7B76"/>
    <w:rsid w:val="00BB7D4D"/>
    <w:rsid w:val="00BC0691"/>
    <w:rsid w:val="00BC32D4"/>
    <w:rsid w:val="00BC4801"/>
    <w:rsid w:val="00BC5242"/>
    <w:rsid w:val="00BD0AB9"/>
    <w:rsid w:val="00BD3C2C"/>
    <w:rsid w:val="00BD60DB"/>
    <w:rsid w:val="00BE3C2A"/>
    <w:rsid w:val="00C10A7A"/>
    <w:rsid w:val="00C13B4C"/>
    <w:rsid w:val="00C24A9A"/>
    <w:rsid w:val="00C27714"/>
    <w:rsid w:val="00C433AC"/>
    <w:rsid w:val="00C46AA6"/>
    <w:rsid w:val="00C6046C"/>
    <w:rsid w:val="00C61BF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D2F0A"/>
    <w:rsid w:val="00CD4A8E"/>
    <w:rsid w:val="00CF2B9F"/>
    <w:rsid w:val="00D05B8F"/>
    <w:rsid w:val="00D06063"/>
    <w:rsid w:val="00D102CD"/>
    <w:rsid w:val="00D12686"/>
    <w:rsid w:val="00D12E1E"/>
    <w:rsid w:val="00D13CAB"/>
    <w:rsid w:val="00D2250C"/>
    <w:rsid w:val="00D24A1C"/>
    <w:rsid w:val="00D25CF8"/>
    <w:rsid w:val="00D27A1C"/>
    <w:rsid w:val="00D30E39"/>
    <w:rsid w:val="00D327D9"/>
    <w:rsid w:val="00D32FC7"/>
    <w:rsid w:val="00D35077"/>
    <w:rsid w:val="00D403FB"/>
    <w:rsid w:val="00D46D8F"/>
    <w:rsid w:val="00D50F2A"/>
    <w:rsid w:val="00D54D0D"/>
    <w:rsid w:val="00D551CF"/>
    <w:rsid w:val="00D66BBB"/>
    <w:rsid w:val="00D70745"/>
    <w:rsid w:val="00D71FF5"/>
    <w:rsid w:val="00D74092"/>
    <w:rsid w:val="00D77E54"/>
    <w:rsid w:val="00DA26BC"/>
    <w:rsid w:val="00DA4273"/>
    <w:rsid w:val="00DA5995"/>
    <w:rsid w:val="00DB3985"/>
    <w:rsid w:val="00DB4953"/>
    <w:rsid w:val="00DC0ED4"/>
    <w:rsid w:val="00DC7F97"/>
    <w:rsid w:val="00DD019F"/>
    <w:rsid w:val="00DE72E8"/>
    <w:rsid w:val="00DF5163"/>
    <w:rsid w:val="00DF7579"/>
    <w:rsid w:val="00E00F2C"/>
    <w:rsid w:val="00E07BDC"/>
    <w:rsid w:val="00E20570"/>
    <w:rsid w:val="00E209CB"/>
    <w:rsid w:val="00E25D34"/>
    <w:rsid w:val="00E273B4"/>
    <w:rsid w:val="00E31E8B"/>
    <w:rsid w:val="00E36D39"/>
    <w:rsid w:val="00E44B8E"/>
    <w:rsid w:val="00E47D5B"/>
    <w:rsid w:val="00E5260E"/>
    <w:rsid w:val="00E56C4C"/>
    <w:rsid w:val="00E71CEB"/>
    <w:rsid w:val="00E74979"/>
    <w:rsid w:val="00E8356D"/>
    <w:rsid w:val="00E906B5"/>
    <w:rsid w:val="00E909DF"/>
    <w:rsid w:val="00EA4465"/>
    <w:rsid w:val="00EA5B17"/>
    <w:rsid w:val="00EB1B2C"/>
    <w:rsid w:val="00EB5F34"/>
    <w:rsid w:val="00EB6196"/>
    <w:rsid w:val="00EC0D5D"/>
    <w:rsid w:val="00EC1013"/>
    <w:rsid w:val="00EC3D1F"/>
    <w:rsid w:val="00ED1726"/>
    <w:rsid w:val="00ED2018"/>
    <w:rsid w:val="00ED2B9F"/>
    <w:rsid w:val="00ED6E2C"/>
    <w:rsid w:val="00ED7B1E"/>
    <w:rsid w:val="00EE18FB"/>
    <w:rsid w:val="00EE4876"/>
    <w:rsid w:val="00EE4CEA"/>
    <w:rsid w:val="00EF69AE"/>
    <w:rsid w:val="00F15475"/>
    <w:rsid w:val="00F169DE"/>
    <w:rsid w:val="00F23D65"/>
    <w:rsid w:val="00F31A89"/>
    <w:rsid w:val="00F32A75"/>
    <w:rsid w:val="00F33005"/>
    <w:rsid w:val="00F34EA1"/>
    <w:rsid w:val="00F4051C"/>
    <w:rsid w:val="00F4172D"/>
    <w:rsid w:val="00F4663F"/>
    <w:rsid w:val="00F51DA0"/>
    <w:rsid w:val="00F52882"/>
    <w:rsid w:val="00F53831"/>
    <w:rsid w:val="00F53938"/>
    <w:rsid w:val="00F53F66"/>
    <w:rsid w:val="00F60480"/>
    <w:rsid w:val="00F623AC"/>
    <w:rsid w:val="00F804E0"/>
    <w:rsid w:val="00F80976"/>
    <w:rsid w:val="00F81262"/>
    <w:rsid w:val="00F81771"/>
    <w:rsid w:val="00F9163B"/>
    <w:rsid w:val="00F920E8"/>
    <w:rsid w:val="00F94CCF"/>
    <w:rsid w:val="00FA4B03"/>
    <w:rsid w:val="00FA52B2"/>
    <w:rsid w:val="00FC5166"/>
    <w:rsid w:val="00FC53D5"/>
    <w:rsid w:val="00FC6664"/>
    <w:rsid w:val="00FD401E"/>
    <w:rsid w:val="00FD4772"/>
    <w:rsid w:val="00FD789D"/>
    <w:rsid w:val="00FE3CA4"/>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character" w:styleId="Collegamentovisitato">
    <w:name w:val="FollowedHyperlink"/>
    <w:semiHidden/>
    <w:unhideWhenUsed/>
    <w:rsid w:val="00E07BDC"/>
    <w:rPr>
      <w:color w:val="954F72"/>
      <w:u w:val="single"/>
    </w:rPr>
  </w:style>
  <w:style w:type="character" w:customStyle="1" w:styleId="apple-converted-space">
    <w:name w:val="apple-converted-space"/>
    <w:rsid w:val="0081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scini@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211</TotalTime>
  <Pages>1</Pages>
  <Words>860</Words>
  <Characters>4904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5753</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Chiara Santilli</cp:lastModifiedBy>
  <cp:revision>43</cp:revision>
  <cp:lastPrinted>2019-02-27T17:41:00Z</cp:lastPrinted>
  <dcterms:created xsi:type="dcterms:W3CDTF">2020-03-10T08:33:00Z</dcterms:created>
  <dcterms:modified xsi:type="dcterms:W3CDTF">2020-06-08T10:20:00Z</dcterms:modified>
</cp:coreProperties>
</file>