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D8AD94E" w14:textId="01CE01DF" w:rsidR="00CE5F79" w:rsidRPr="00C50C7E" w:rsidRDefault="00466930" w:rsidP="00B71AF1">
      <w:pPr>
        <w:autoSpaceDE w:val="0"/>
        <w:autoSpaceDN w:val="0"/>
        <w:adjustRightInd w:val="0"/>
        <w:jc w:val="both"/>
        <w:rPr>
          <w:rFonts w:ascii="Calibri" w:hAnsi="Calibri" w:cs="Arial"/>
          <w:b/>
          <w:bCs/>
          <w:sz w:val="22"/>
          <w:szCs w:val="22"/>
        </w:rPr>
      </w:pPr>
      <w:r>
        <w:rPr>
          <w:rFonts w:ascii="Calibri" w:hAnsi="Calibri" w:cs="Arial"/>
          <w:b/>
          <w:bCs/>
          <w:color w:val="000000"/>
          <w:sz w:val="22"/>
          <w:szCs w:val="22"/>
        </w:rPr>
        <w:pict w14:anchorId="036903AB">
          <v:shape id="Segno di sottrazione 5" o:spid="_x0000_s1026" style="position:absolute;left:0;text-align:left;margin-left:-73.75pt;margin-top:-24pt;width:599.25pt;height:3.6pt;z-index: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7610475,457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" path="m1008768,17483r5592939,l6601707,28236r-5592939,l1008768,17483xe" fillcolor="#205394" strokecolor="#385d8a" strokeweight="1pt">
            <v:path arrowok="t" o:connecttype="custom" o:connectlocs="1008768,17483;6601707,17483;6601707,28236;1008768,28236;1008768,17483" o:connectangles="0,0,0,0,0"/>
          </v:shape>
        </w:pict>
      </w:r>
      <w:r w:rsidR="00214F8E" w:rsidRPr="00214F8E">
        <w:rPr>
          <w:rFonts w:ascii="Calibri" w:hAnsi="Calibri" w:cs="Arial"/>
          <w:b/>
          <w:bCs/>
          <w:sz w:val="22"/>
          <w:szCs w:val="22"/>
        </w:rPr>
        <w:t>Appalti pubblici: il Consiglio di Stato si esprime sul calcolo dell’anomalia</w:t>
      </w:r>
    </w:p>
    <w:p w14:paraId="02BF737C" w14:textId="77777777" w:rsidR="00CE5F79" w:rsidRPr="00C50C7E" w:rsidRDefault="00CE5F79" w:rsidP="00B71AF1">
      <w:pPr>
        <w:widowControl w:val="0"/>
        <w:jc w:val="both"/>
        <w:rPr>
          <w:rFonts w:ascii="Calibri" w:eastAsia="MS Mincho" w:hAnsi="Calibri" w:cs="Calibri"/>
          <w:b/>
          <w:sz w:val="22"/>
          <w:szCs w:val="22"/>
        </w:rPr>
      </w:pPr>
    </w:p>
    <w:p w14:paraId="780284AE" w14:textId="3DD0EF4B" w:rsidR="00B71AF1" w:rsidRPr="00C50C7E" w:rsidRDefault="00214F8E" w:rsidP="00B71AF1">
      <w:pPr>
        <w:autoSpaceDE w:val="0"/>
        <w:autoSpaceDN w:val="0"/>
        <w:adjustRightInd w:val="0"/>
        <w:jc w:val="both"/>
        <w:rPr>
          <w:rFonts w:ascii="Calibri" w:hAnsi="Calibri" w:cs="Arial"/>
          <w:color w:val="000000"/>
          <w:sz w:val="22"/>
          <w:szCs w:val="22"/>
        </w:rPr>
      </w:pPr>
      <w:r w:rsidRPr="00214F8E">
        <w:rPr>
          <w:rFonts w:ascii="Calibri" w:hAnsi="Calibri" w:cs="Arial"/>
          <w:color w:val="000000"/>
          <w:sz w:val="22"/>
          <w:szCs w:val="22"/>
        </w:rPr>
        <w:t>Sent</w:t>
      </w:r>
      <w:r w:rsidR="001E460E">
        <w:rPr>
          <w:rFonts w:ascii="Calibri" w:hAnsi="Calibri" w:cs="Arial"/>
          <w:color w:val="000000"/>
          <w:sz w:val="22"/>
          <w:szCs w:val="22"/>
        </w:rPr>
        <w:t>enza</w:t>
      </w:r>
      <w:r w:rsidRPr="00214F8E">
        <w:rPr>
          <w:rFonts w:ascii="Calibri" w:hAnsi="Calibri" w:cs="Arial"/>
          <w:color w:val="000000"/>
          <w:sz w:val="22"/>
          <w:szCs w:val="22"/>
        </w:rPr>
        <w:t xml:space="preserve"> </w:t>
      </w:r>
      <w:r w:rsidR="001E460E">
        <w:rPr>
          <w:rFonts w:ascii="Calibri" w:hAnsi="Calibri" w:cs="Arial"/>
          <w:color w:val="000000"/>
          <w:sz w:val="22"/>
          <w:szCs w:val="22"/>
        </w:rPr>
        <w:t xml:space="preserve">n. </w:t>
      </w:r>
      <w:r w:rsidRPr="00214F8E">
        <w:rPr>
          <w:rFonts w:ascii="Calibri" w:hAnsi="Calibri" w:cs="Arial"/>
          <w:color w:val="000000"/>
          <w:sz w:val="22"/>
          <w:szCs w:val="22"/>
        </w:rPr>
        <w:t>2856/2020</w:t>
      </w:r>
    </w:p>
    <w:p w14:paraId="2CAD3390" w14:textId="77777777" w:rsidR="00214F8E" w:rsidRDefault="00214F8E" w:rsidP="00047164">
      <w:pPr>
        <w:pStyle w:val="NormaleWeb"/>
        <w:shd w:val="clear" w:color="auto" w:fill="FFFFFF"/>
        <w:spacing w:after="200"/>
        <w:jc w:val="both"/>
        <w:rPr>
          <w:rFonts w:ascii="Calibri" w:hAnsi="Calibri"/>
          <w:sz w:val="22"/>
          <w:szCs w:val="22"/>
        </w:rPr>
      </w:pPr>
    </w:p>
    <w:p w14:paraId="3B3657E1" w14:textId="77777777" w:rsidR="00214F8E" w:rsidRPr="00393776" w:rsidRDefault="00214F8E" w:rsidP="00214F8E">
      <w:pPr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</w:rPr>
      </w:pPr>
      <w:r w:rsidRPr="00393776">
        <w:rPr>
          <w:rFonts w:ascii="Calibri" w:hAnsi="Calibri" w:cs="Calibri"/>
          <w:b/>
          <w:bCs/>
          <w:sz w:val="22"/>
          <w:szCs w:val="22"/>
        </w:rPr>
        <w:t xml:space="preserve">L’orientamento secondo cui l’ultimo fattore correttivo per l’individuazione della soglia di anomalia è una percentuale </w:t>
      </w:r>
      <w:r w:rsidRPr="00393776">
        <w:rPr>
          <w:rFonts w:ascii="Calibri" w:hAnsi="Calibri" w:cs="Calibri"/>
          <w:sz w:val="22"/>
          <w:szCs w:val="22"/>
        </w:rPr>
        <w:t xml:space="preserve">e non una semplice sottrazione, deve ritenersi </w:t>
      </w:r>
      <w:r w:rsidRPr="00393776">
        <w:rPr>
          <w:rFonts w:ascii="Calibri" w:hAnsi="Calibri" w:cs="Calibri"/>
          <w:b/>
          <w:bCs/>
          <w:sz w:val="22"/>
          <w:szCs w:val="22"/>
        </w:rPr>
        <w:t>privo di base legale</w:t>
      </w:r>
      <w:r w:rsidRPr="00393776">
        <w:rPr>
          <w:rFonts w:ascii="Calibri" w:hAnsi="Calibri" w:cs="Calibri"/>
          <w:sz w:val="22"/>
          <w:szCs w:val="22"/>
        </w:rPr>
        <w:t>, nella misura in cui finisce per introdurre un’ulteriore operazione di calcolo non prevista dal Codice dei contratti pubblici.</w:t>
      </w:r>
    </w:p>
    <w:p w14:paraId="2ED6278F" w14:textId="77777777" w:rsidR="00214F8E" w:rsidRPr="00393776" w:rsidRDefault="00214F8E" w:rsidP="00214F8E">
      <w:pPr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</w:rPr>
      </w:pPr>
    </w:p>
    <w:p w14:paraId="68B8641A" w14:textId="77777777" w:rsidR="00214F8E" w:rsidRPr="00393776" w:rsidRDefault="00214F8E" w:rsidP="00214F8E">
      <w:pPr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</w:rPr>
      </w:pPr>
      <w:r w:rsidRPr="00393776">
        <w:rPr>
          <w:rFonts w:ascii="Calibri" w:hAnsi="Calibri" w:cs="Calibri"/>
          <w:sz w:val="22"/>
          <w:szCs w:val="22"/>
        </w:rPr>
        <w:t xml:space="preserve">Lo ha stabilito </w:t>
      </w:r>
      <w:r w:rsidRPr="00393776">
        <w:rPr>
          <w:rFonts w:ascii="Calibri" w:hAnsi="Calibri" w:cs="Calibri"/>
          <w:b/>
          <w:bCs/>
          <w:sz w:val="22"/>
          <w:szCs w:val="22"/>
        </w:rPr>
        <w:t>il Consiglio di Stato in riforma ad una precedente decisione di primo grado del TAR Marche</w:t>
      </w:r>
      <w:r w:rsidRPr="00393776">
        <w:rPr>
          <w:rFonts w:ascii="Calibri" w:hAnsi="Calibri" w:cs="Calibri"/>
          <w:sz w:val="22"/>
          <w:szCs w:val="22"/>
        </w:rPr>
        <w:t>, che aveva accolto il ricorso presentato da un concorrente escluso dalla gara per aver presentato un’offerta con un ribasso superiore alla soglia di anomalia (sentenza Cons. Stato, del 6 maggio 2020, n. 2856, in riforma della sentenza TAR Marche del 29 gennaio 2020, n. 82).</w:t>
      </w:r>
    </w:p>
    <w:p w14:paraId="04E51A68" w14:textId="77777777" w:rsidR="00214F8E" w:rsidRPr="00393776" w:rsidRDefault="00214F8E" w:rsidP="00214F8E">
      <w:pPr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</w:rPr>
      </w:pPr>
    </w:p>
    <w:p w14:paraId="6432BCE7" w14:textId="77777777" w:rsidR="00214F8E" w:rsidRPr="00393776" w:rsidRDefault="00214F8E" w:rsidP="00214F8E">
      <w:pPr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</w:rPr>
      </w:pPr>
      <w:r w:rsidRPr="00393776">
        <w:rPr>
          <w:rFonts w:ascii="Calibri" w:hAnsi="Calibri" w:cs="Calibri"/>
          <w:sz w:val="22"/>
          <w:szCs w:val="22"/>
        </w:rPr>
        <w:t xml:space="preserve">In primo grado i giudici avevano confermato l’orientamento già espresso dallo stesso TAR Marche, supportando </w:t>
      </w:r>
      <w:r w:rsidRPr="00393776">
        <w:rPr>
          <w:rFonts w:ascii="Calibri" w:hAnsi="Calibri" w:cs="Calibri"/>
          <w:b/>
          <w:bCs/>
          <w:sz w:val="22"/>
          <w:szCs w:val="22"/>
        </w:rPr>
        <w:t xml:space="preserve">la tesi dell'appellante che verteva su un errore nell'algoritmo utilizzato dalla Provincia di Ancona </w:t>
      </w:r>
      <w:r w:rsidRPr="00393776">
        <w:rPr>
          <w:rFonts w:ascii="Calibri" w:hAnsi="Calibri" w:cs="Calibri"/>
          <w:sz w:val="22"/>
          <w:szCs w:val="22"/>
        </w:rPr>
        <w:t xml:space="preserve">al fine di determinare in via automatica la soglia di anomalia; in particolare, era </w:t>
      </w:r>
      <w:r w:rsidRPr="00393776">
        <w:rPr>
          <w:rFonts w:ascii="Calibri" w:hAnsi="Calibri" w:cs="Calibri"/>
          <w:b/>
          <w:bCs/>
          <w:sz w:val="22"/>
          <w:szCs w:val="22"/>
        </w:rPr>
        <w:t>censurata la parte in cui tale algoritmo procedeva all’operazione conclusiva del decremento della prima soglia di anomalia</w:t>
      </w:r>
      <w:r w:rsidRPr="00393776">
        <w:rPr>
          <w:rFonts w:ascii="Calibri" w:hAnsi="Calibri" w:cs="Calibri"/>
          <w:sz w:val="22"/>
          <w:szCs w:val="22"/>
        </w:rPr>
        <w:t>, utilizzando il fattore correttivo finale.</w:t>
      </w:r>
    </w:p>
    <w:p w14:paraId="0985E1CF" w14:textId="77777777" w:rsidR="00214F8E" w:rsidRPr="00393776" w:rsidRDefault="00214F8E" w:rsidP="00214F8E">
      <w:pPr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</w:rPr>
      </w:pPr>
    </w:p>
    <w:p w14:paraId="70346749" w14:textId="77777777" w:rsidR="00214F8E" w:rsidRPr="00393776" w:rsidRDefault="00214F8E" w:rsidP="00214F8E">
      <w:pPr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</w:rPr>
      </w:pPr>
      <w:r w:rsidRPr="00393776">
        <w:rPr>
          <w:rFonts w:ascii="Calibri" w:hAnsi="Calibri" w:cs="Calibri"/>
          <w:sz w:val="22"/>
          <w:szCs w:val="22"/>
        </w:rPr>
        <w:t xml:space="preserve">Su tali premesse </w:t>
      </w:r>
      <w:r w:rsidRPr="00393776">
        <w:rPr>
          <w:rFonts w:ascii="Calibri" w:hAnsi="Calibri" w:cs="Calibri"/>
          <w:b/>
          <w:bCs/>
          <w:sz w:val="22"/>
          <w:szCs w:val="22"/>
        </w:rPr>
        <w:t>il Consiglio di Stato ha ripercorso i passaggi del calcolo del suddetto decremento</w:t>
      </w:r>
      <w:r w:rsidRPr="00393776">
        <w:rPr>
          <w:rFonts w:ascii="Calibri" w:hAnsi="Calibri" w:cs="Calibri"/>
          <w:sz w:val="22"/>
          <w:szCs w:val="22"/>
        </w:rPr>
        <w:t xml:space="preserve">, previsto all’art. 97, comma 2, lett. </w:t>
      </w:r>
      <w:r w:rsidRPr="00393776">
        <w:rPr>
          <w:rFonts w:ascii="Calibri" w:hAnsi="Calibri" w:cs="Calibri"/>
          <w:i/>
          <w:iCs/>
          <w:sz w:val="22"/>
          <w:szCs w:val="22"/>
        </w:rPr>
        <w:t xml:space="preserve">d) </w:t>
      </w:r>
      <w:r w:rsidRPr="00393776">
        <w:rPr>
          <w:rFonts w:ascii="Calibri" w:hAnsi="Calibri" w:cs="Calibri"/>
          <w:sz w:val="22"/>
          <w:szCs w:val="22"/>
        </w:rPr>
        <w:t>del Codice dei contratti, ricordando che questo consiste:</w:t>
      </w:r>
    </w:p>
    <w:p w14:paraId="256B585A" w14:textId="77777777" w:rsidR="00214F8E" w:rsidRPr="00393776" w:rsidRDefault="00214F8E" w:rsidP="00214F8E">
      <w:pPr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</w:rPr>
      </w:pPr>
    </w:p>
    <w:p w14:paraId="22293FDA" w14:textId="77777777" w:rsidR="00214F8E" w:rsidRPr="00393776" w:rsidRDefault="00214F8E" w:rsidP="00214F8E">
      <w:pPr>
        <w:pStyle w:val="Paragrafoelenco"/>
        <w:numPr>
          <w:ilvl w:val="0"/>
          <w:numId w:val="36"/>
        </w:numPr>
        <w:autoSpaceDE w:val="0"/>
        <w:autoSpaceDN w:val="0"/>
        <w:adjustRightInd w:val="0"/>
        <w:spacing w:after="0" w:line="240" w:lineRule="auto"/>
        <w:jc w:val="both"/>
        <w:rPr>
          <w:rFonts w:cs="Calibri"/>
        </w:rPr>
      </w:pPr>
      <w:r w:rsidRPr="00393776">
        <w:rPr>
          <w:rFonts w:cs="Calibri"/>
        </w:rPr>
        <w:t>nella duplice operazione di calcolo «</w:t>
      </w:r>
      <w:r w:rsidRPr="00393776">
        <w:rPr>
          <w:rFonts w:cs="Calibri"/>
          <w:i/>
          <w:iCs/>
        </w:rPr>
        <w:t xml:space="preserve">della </w:t>
      </w:r>
      <w:r w:rsidRPr="00393776">
        <w:rPr>
          <w:rFonts w:cs="Calibri"/>
          <w:b/>
          <w:bCs/>
          <w:i/>
          <w:iCs/>
        </w:rPr>
        <w:t>somma e della media aritmetica dei ribassi percentuali di tutte le offerte ammesse</w:t>
      </w:r>
      <w:r w:rsidRPr="00393776">
        <w:rPr>
          <w:rFonts w:cs="Calibri"/>
        </w:rPr>
        <w:t>», vale a dire quelle non collocate nelle “ali”;</w:t>
      </w:r>
    </w:p>
    <w:p w14:paraId="238348CB" w14:textId="77777777" w:rsidR="00214F8E" w:rsidRPr="00393776" w:rsidRDefault="00214F8E" w:rsidP="00214F8E">
      <w:pPr>
        <w:pStyle w:val="Paragrafoelenco"/>
        <w:numPr>
          <w:ilvl w:val="0"/>
          <w:numId w:val="36"/>
        </w:numPr>
        <w:autoSpaceDE w:val="0"/>
        <w:autoSpaceDN w:val="0"/>
        <w:adjustRightInd w:val="0"/>
        <w:spacing w:after="0" w:line="240" w:lineRule="auto"/>
        <w:jc w:val="both"/>
        <w:rPr>
          <w:rFonts w:cs="Calibri"/>
        </w:rPr>
      </w:pPr>
      <w:r w:rsidRPr="00393776">
        <w:rPr>
          <w:rFonts w:cs="Calibri"/>
        </w:rPr>
        <w:t>nel richiedere poi di calcolare lo «</w:t>
      </w:r>
      <w:r w:rsidRPr="00393776">
        <w:rPr>
          <w:rFonts w:cs="Calibri"/>
          <w:b/>
          <w:bCs/>
          <w:i/>
          <w:iCs/>
        </w:rPr>
        <w:t xml:space="preserve">scarto medio aritmetico </w:t>
      </w:r>
      <w:r w:rsidRPr="00393776">
        <w:rPr>
          <w:rFonts w:cs="Calibri"/>
          <w:i/>
          <w:iCs/>
        </w:rPr>
        <w:t>dei ribassi percentuali che superano la media calcolata ai sensi della lettera a)</w:t>
      </w:r>
      <w:r w:rsidRPr="00393776">
        <w:rPr>
          <w:rFonts w:cs="Calibri"/>
        </w:rPr>
        <w:t xml:space="preserve">», laddove il primo rappresenta più precisamente la media dei differenziali dei ribassi superiori alla media complessiva come calcolata secondo la precedente lettera </w:t>
      </w:r>
      <w:r w:rsidRPr="00393776">
        <w:rPr>
          <w:rFonts w:cs="Calibri"/>
          <w:i/>
          <w:iCs/>
        </w:rPr>
        <w:t>a)</w:t>
      </w:r>
      <w:r w:rsidRPr="00393776">
        <w:rPr>
          <w:rFonts w:cs="Calibri"/>
        </w:rPr>
        <w:t>;</w:t>
      </w:r>
    </w:p>
    <w:p w14:paraId="7E8C48DE" w14:textId="35DFBF8E" w:rsidR="00214F8E" w:rsidRPr="00393776" w:rsidRDefault="00214F8E" w:rsidP="00214F8E">
      <w:pPr>
        <w:pStyle w:val="Paragrafoelenco"/>
        <w:numPr>
          <w:ilvl w:val="0"/>
          <w:numId w:val="36"/>
        </w:numPr>
        <w:autoSpaceDE w:val="0"/>
        <w:autoSpaceDN w:val="0"/>
        <w:adjustRightInd w:val="0"/>
        <w:spacing w:after="0" w:line="240" w:lineRule="auto"/>
        <w:jc w:val="both"/>
        <w:rPr>
          <w:rFonts w:cs="Calibri"/>
        </w:rPr>
      </w:pPr>
      <w:r w:rsidRPr="00393776">
        <w:rPr>
          <w:rFonts w:cs="Calibri"/>
        </w:rPr>
        <w:t xml:space="preserve">nella </w:t>
      </w:r>
      <w:r w:rsidRPr="00393776">
        <w:rPr>
          <w:rFonts w:cs="Calibri"/>
          <w:b/>
          <w:bCs/>
        </w:rPr>
        <w:t xml:space="preserve">somma tra scarto medio aritmetico dei ribassi e «media aritmetica» </w:t>
      </w:r>
      <w:r w:rsidRPr="00393776">
        <w:rPr>
          <w:rFonts w:cs="Calibri"/>
        </w:rPr>
        <w:t xml:space="preserve">già calcolata ai sensi della lettera </w:t>
      </w:r>
      <w:r w:rsidRPr="00393776">
        <w:rPr>
          <w:rFonts w:cs="Calibri"/>
          <w:i/>
          <w:iCs/>
        </w:rPr>
        <w:t>a)</w:t>
      </w:r>
      <w:r w:rsidRPr="00393776">
        <w:rPr>
          <w:rFonts w:cs="Calibri"/>
        </w:rPr>
        <w:t>;</w:t>
      </w:r>
    </w:p>
    <w:p w14:paraId="66D46488" w14:textId="77777777" w:rsidR="00214F8E" w:rsidRPr="00393776" w:rsidRDefault="00214F8E" w:rsidP="00214F8E">
      <w:pPr>
        <w:pStyle w:val="Paragrafoelenco"/>
        <w:numPr>
          <w:ilvl w:val="0"/>
          <w:numId w:val="36"/>
        </w:numPr>
        <w:autoSpaceDE w:val="0"/>
        <w:autoSpaceDN w:val="0"/>
        <w:adjustRightInd w:val="0"/>
        <w:spacing w:after="0" w:line="240" w:lineRule="auto"/>
        <w:jc w:val="both"/>
        <w:rPr>
          <w:rFonts w:cs="Calibri"/>
        </w:rPr>
      </w:pPr>
      <w:r w:rsidRPr="00393776">
        <w:rPr>
          <w:rFonts w:cs="Calibri"/>
        </w:rPr>
        <w:t xml:space="preserve">nel riprendere la somma dei ribassi già calcolata ai sensi della lettera a), e di </w:t>
      </w:r>
      <w:r w:rsidRPr="00393776">
        <w:rPr>
          <w:rFonts w:cs="Calibri"/>
          <w:b/>
          <w:bCs/>
        </w:rPr>
        <w:t>moltiplicare tra loro le prime due cifre dopo la virgola di tale somma</w:t>
      </w:r>
      <w:r w:rsidRPr="00393776">
        <w:rPr>
          <w:rFonts w:cs="Calibri"/>
        </w:rPr>
        <w:t xml:space="preserve">; il prodotto così ottenuto va applicato allo scarto medio aritmetico a sua volta già calcolato in base alla lettera b); del valore così ottenuto va infine </w:t>
      </w:r>
      <w:r w:rsidRPr="00393776">
        <w:rPr>
          <w:rFonts w:cs="Calibri"/>
          <w:b/>
          <w:bCs/>
        </w:rPr>
        <w:t xml:space="preserve">decrementata la soglia determinata dalla somma prevista dalla lettera </w:t>
      </w:r>
      <w:r w:rsidRPr="00393776">
        <w:rPr>
          <w:rFonts w:cs="Calibri"/>
          <w:b/>
          <w:bCs/>
          <w:i/>
          <w:iCs/>
        </w:rPr>
        <w:t xml:space="preserve">c) </w:t>
      </w:r>
      <w:r w:rsidRPr="00393776">
        <w:rPr>
          <w:rFonts w:cs="Calibri"/>
        </w:rPr>
        <w:t>tra la media dei ribassi e lo scarto medio aritmetico.</w:t>
      </w:r>
    </w:p>
    <w:p w14:paraId="7D21A738" w14:textId="77777777" w:rsidR="00214F8E" w:rsidRPr="00393776" w:rsidRDefault="00214F8E" w:rsidP="00214F8E">
      <w:pPr>
        <w:pStyle w:val="Paragrafoelenco"/>
        <w:autoSpaceDE w:val="0"/>
        <w:autoSpaceDN w:val="0"/>
        <w:adjustRightInd w:val="0"/>
        <w:spacing w:after="0" w:line="240" w:lineRule="auto"/>
        <w:jc w:val="both"/>
        <w:rPr>
          <w:rFonts w:cs="Calibri"/>
        </w:rPr>
      </w:pPr>
    </w:p>
    <w:p w14:paraId="0F190C2D" w14:textId="77777777" w:rsidR="00214F8E" w:rsidRPr="00393776" w:rsidRDefault="00214F8E" w:rsidP="00214F8E">
      <w:pPr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</w:rPr>
      </w:pPr>
      <w:r w:rsidRPr="00393776">
        <w:rPr>
          <w:rFonts w:ascii="Calibri" w:hAnsi="Calibri" w:cs="Calibri"/>
          <w:sz w:val="22"/>
          <w:szCs w:val="22"/>
        </w:rPr>
        <w:t xml:space="preserve">Come evidenziato dal Collegio, </w:t>
      </w:r>
      <w:r w:rsidRPr="00393776">
        <w:rPr>
          <w:rFonts w:ascii="Calibri" w:hAnsi="Calibri" w:cs="Calibri"/>
          <w:b/>
          <w:bCs/>
          <w:sz w:val="22"/>
          <w:szCs w:val="22"/>
        </w:rPr>
        <w:t>la questione controversa è se il valore ottenuto applicando allo scarto medio aritmetico il prodotto delle prime due cifre dopo la virgola della somma dei ribassi sia o meno «</w:t>
      </w:r>
      <w:r w:rsidRPr="00393776">
        <w:rPr>
          <w:rFonts w:ascii="Calibri" w:hAnsi="Calibri" w:cs="Calibri"/>
          <w:b/>
          <w:bCs/>
          <w:i/>
          <w:iCs/>
          <w:sz w:val="22"/>
          <w:szCs w:val="22"/>
        </w:rPr>
        <w:t>un valore percentuale</w:t>
      </w:r>
      <w:r w:rsidRPr="00393776">
        <w:rPr>
          <w:rFonts w:ascii="Calibri" w:hAnsi="Calibri" w:cs="Calibri"/>
          <w:b/>
          <w:bCs/>
          <w:sz w:val="22"/>
          <w:szCs w:val="22"/>
        </w:rPr>
        <w:t>»</w:t>
      </w:r>
      <w:r w:rsidRPr="00393776">
        <w:rPr>
          <w:rFonts w:ascii="Calibri" w:hAnsi="Calibri" w:cs="Calibri"/>
          <w:sz w:val="22"/>
          <w:szCs w:val="22"/>
        </w:rPr>
        <w:t xml:space="preserve">. </w:t>
      </w:r>
    </w:p>
    <w:p w14:paraId="4EF4E580" w14:textId="77777777" w:rsidR="00214F8E" w:rsidRPr="00393776" w:rsidRDefault="00214F8E" w:rsidP="00214F8E">
      <w:pPr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</w:rPr>
      </w:pPr>
    </w:p>
    <w:p w14:paraId="24154076" w14:textId="77777777" w:rsidR="00214F8E" w:rsidRPr="00393776" w:rsidRDefault="00214F8E" w:rsidP="00214F8E">
      <w:pPr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</w:rPr>
      </w:pPr>
      <w:r w:rsidRPr="00393776">
        <w:rPr>
          <w:rFonts w:ascii="Calibri" w:hAnsi="Calibri" w:cs="Calibri"/>
          <w:sz w:val="22"/>
          <w:szCs w:val="22"/>
        </w:rPr>
        <w:t xml:space="preserve">Tuttavia, </w:t>
      </w:r>
      <w:r w:rsidRPr="00393776">
        <w:rPr>
          <w:rFonts w:ascii="Calibri" w:hAnsi="Calibri" w:cs="Calibri"/>
          <w:b/>
          <w:bCs/>
          <w:sz w:val="22"/>
          <w:szCs w:val="22"/>
        </w:rPr>
        <w:t xml:space="preserve">a tale proposito è dirimente che tutti i valori ottenuti attraverso le operazioni </w:t>
      </w:r>
      <w:r w:rsidRPr="00393776">
        <w:rPr>
          <w:rFonts w:ascii="Calibri" w:hAnsi="Calibri" w:cs="Calibri"/>
          <w:sz w:val="22"/>
          <w:szCs w:val="22"/>
        </w:rPr>
        <w:t xml:space="preserve">previste dall’art. 97, comma 2, del codice dei contratti pubblici </w:t>
      </w:r>
      <w:r w:rsidRPr="00393776">
        <w:rPr>
          <w:rFonts w:ascii="Calibri" w:hAnsi="Calibri" w:cs="Calibri"/>
          <w:b/>
          <w:bCs/>
          <w:sz w:val="22"/>
          <w:szCs w:val="22"/>
        </w:rPr>
        <w:t xml:space="preserve">consistono in percentuali </w:t>
      </w:r>
      <w:r w:rsidRPr="00393776">
        <w:rPr>
          <w:rFonts w:ascii="Calibri" w:hAnsi="Calibri" w:cs="Calibri"/>
          <w:sz w:val="22"/>
          <w:szCs w:val="22"/>
        </w:rPr>
        <w:t>rispetto alla base d’asta.</w:t>
      </w:r>
    </w:p>
    <w:p w14:paraId="5E56A3FD" w14:textId="77777777" w:rsidR="00214F8E" w:rsidRPr="00393776" w:rsidRDefault="00214F8E" w:rsidP="00214F8E">
      <w:pPr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</w:rPr>
      </w:pPr>
    </w:p>
    <w:p w14:paraId="3CDE18CC" w14:textId="77777777" w:rsidR="00214F8E" w:rsidRPr="00393776" w:rsidRDefault="00214F8E" w:rsidP="00214F8E">
      <w:pPr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</w:rPr>
      </w:pPr>
      <w:r w:rsidRPr="00393776">
        <w:rPr>
          <w:rFonts w:ascii="Calibri" w:hAnsi="Calibri" w:cs="Calibri"/>
          <w:sz w:val="22"/>
          <w:szCs w:val="22"/>
        </w:rPr>
        <w:lastRenderedPageBreak/>
        <w:t>L’</w:t>
      </w:r>
      <w:r w:rsidRPr="00393776">
        <w:rPr>
          <w:rFonts w:ascii="Calibri" w:hAnsi="Calibri" w:cs="Calibri"/>
          <w:b/>
          <w:bCs/>
          <w:sz w:val="22"/>
          <w:szCs w:val="22"/>
        </w:rPr>
        <w:t xml:space="preserve">errore interpretativo/applicativo del giudice di primo grado </w:t>
      </w:r>
      <w:r w:rsidRPr="00393776">
        <w:rPr>
          <w:rFonts w:ascii="Calibri" w:hAnsi="Calibri" w:cs="Calibri"/>
          <w:sz w:val="22"/>
          <w:szCs w:val="22"/>
        </w:rPr>
        <w:t xml:space="preserve">è, quindi, risultato dall’avere eseguito il decremento previsto dalla norma utilizzando </w:t>
      </w:r>
      <w:r w:rsidRPr="00393776">
        <w:rPr>
          <w:rFonts w:ascii="Calibri" w:hAnsi="Calibri" w:cs="Calibri"/>
          <w:b/>
          <w:bCs/>
          <w:sz w:val="22"/>
          <w:szCs w:val="22"/>
        </w:rPr>
        <w:t>valori percentuali anziché numeri assoluti</w:t>
      </w:r>
      <w:r w:rsidRPr="00393776">
        <w:rPr>
          <w:rFonts w:ascii="Calibri" w:hAnsi="Calibri" w:cs="Calibri"/>
          <w:sz w:val="22"/>
          <w:szCs w:val="22"/>
        </w:rPr>
        <w:t>.</w:t>
      </w:r>
    </w:p>
    <w:p w14:paraId="2F6A1590" w14:textId="77777777" w:rsidR="00214F8E" w:rsidRPr="00393776" w:rsidRDefault="00214F8E" w:rsidP="00214F8E">
      <w:pPr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</w:rPr>
      </w:pPr>
    </w:p>
    <w:p w14:paraId="13CA0BC8" w14:textId="77777777" w:rsidR="00214F8E" w:rsidRPr="00393776" w:rsidRDefault="00214F8E" w:rsidP="00214F8E">
      <w:pPr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</w:rPr>
      </w:pPr>
      <w:r w:rsidRPr="00393776">
        <w:rPr>
          <w:rFonts w:ascii="Calibri" w:hAnsi="Calibri" w:cs="Calibri"/>
          <w:sz w:val="22"/>
          <w:szCs w:val="22"/>
        </w:rPr>
        <w:t>A conferma di ciò il Consiglio di Stato ha come di seguito ripercorso il calcolo (espresso sino alla terza cifra decimale) effettuato dalla Stazione appaltante:</w:t>
      </w:r>
    </w:p>
    <w:p w14:paraId="4932C2A9" w14:textId="77777777" w:rsidR="00214F8E" w:rsidRPr="00393776" w:rsidRDefault="00214F8E" w:rsidP="00214F8E">
      <w:pPr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</w:rPr>
      </w:pPr>
    </w:p>
    <w:p w14:paraId="3B62A06A" w14:textId="77777777" w:rsidR="00214F8E" w:rsidRPr="00393776" w:rsidRDefault="00214F8E" w:rsidP="00214F8E">
      <w:pPr>
        <w:pStyle w:val="Paragrafoelenco"/>
        <w:numPr>
          <w:ilvl w:val="0"/>
          <w:numId w:val="37"/>
        </w:numPr>
        <w:autoSpaceDE w:val="0"/>
        <w:autoSpaceDN w:val="0"/>
        <w:adjustRightInd w:val="0"/>
        <w:spacing w:after="0" w:line="240" w:lineRule="auto"/>
        <w:jc w:val="both"/>
        <w:rPr>
          <w:rFonts w:cs="Calibri"/>
        </w:rPr>
      </w:pPr>
      <w:r w:rsidRPr="00393776">
        <w:rPr>
          <w:rFonts w:cs="Calibri"/>
          <w:b/>
          <w:bCs/>
        </w:rPr>
        <w:t>somma dei ribassi</w:t>
      </w:r>
      <w:r w:rsidRPr="00393776">
        <w:rPr>
          <w:rFonts w:cs="Calibri"/>
        </w:rPr>
        <w:t xml:space="preserve">: </w:t>
      </w:r>
      <w:r w:rsidRPr="00393776">
        <w:rPr>
          <w:rFonts w:cs="Calibri"/>
          <w:b/>
          <w:bCs/>
        </w:rPr>
        <w:t xml:space="preserve">916,92 </w:t>
      </w:r>
      <w:r w:rsidRPr="00393776">
        <w:rPr>
          <w:rFonts w:cs="Calibri"/>
        </w:rPr>
        <w:t>(lett. “</w:t>
      </w:r>
      <w:r w:rsidRPr="00393776">
        <w:rPr>
          <w:rFonts w:cs="Calibri"/>
          <w:i/>
          <w:iCs/>
        </w:rPr>
        <w:t>a</w:t>
      </w:r>
      <w:r w:rsidRPr="00393776">
        <w:rPr>
          <w:rFonts w:cs="Calibri"/>
        </w:rPr>
        <w:t xml:space="preserve">” dell’art. 97, comma 2 </w:t>
      </w:r>
      <w:r w:rsidRPr="00393776">
        <w:rPr>
          <w:rFonts w:cs="Calibri"/>
          <w:i/>
          <w:iCs/>
        </w:rPr>
        <w:t>cit.</w:t>
      </w:r>
      <w:r w:rsidRPr="00393776">
        <w:rPr>
          <w:rFonts w:cs="Calibri"/>
        </w:rPr>
        <w:t>);</w:t>
      </w:r>
    </w:p>
    <w:p w14:paraId="51B0E63D" w14:textId="77777777" w:rsidR="00214F8E" w:rsidRPr="00393776" w:rsidRDefault="00214F8E" w:rsidP="00214F8E">
      <w:pPr>
        <w:pStyle w:val="Paragrafoelenco"/>
        <w:numPr>
          <w:ilvl w:val="0"/>
          <w:numId w:val="37"/>
        </w:numPr>
        <w:autoSpaceDE w:val="0"/>
        <w:autoSpaceDN w:val="0"/>
        <w:adjustRightInd w:val="0"/>
        <w:spacing w:after="0" w:line="240" w:lineRule="auto"/>
        <w:jc w:val="both"/>
        <w:rPr>
          <w:rFonts w:cs="Calibri"/>
        </w:rPr>
      </w:pPr>
      <w:r w:rsidRPr="00393776">
        <w:rPr>
          <w:rFonts w:cs="Calibri"/>
          <w:b/>
          <w:bCs/>
        </w:rPr>
        <w:t xml:space="preserve">prodotto delle prime due cifre </w:t>
      </w:r>
      <w:r w:rsidRPr="00393776">
        <w:rPr>
          <w:rFonts w:cs="Calibri"/>
        </w:rPr>
        <w:t xml:space="preserve">dopo la virgola della somma dei ribassi: </w:t>
      </w:r>
      <w:r w:rsidRPr="00393776">
        <w:rPr>
          <w:rFonts w:cs="Calibri"/>
          <w:b/>
          <w:bCs/>
        </w:rPr>
        <w:t xml:space="preserve">18 </w:t>
      </w:r>
      <w:r w:rsidRPr="00393776">
        <w:rPr>
          <w:rFonts w:cs="Calibri"/>
        </w:rPr>
        <w:t>pari a 9 x 2;</w:t>
      </w:r>
    </w:p>
    <w:p w14:paraId="0A7D82F0" w14:textId="77777777" w:rsidR="00214F8E" w:rsidRPr="00393776" w:rsidRDefault="00214F8E" w:rsidP="00214F8E">
      <w:pPr>
        <w:pStyle w:val="Paragrafoelenco"/>
        <w:numPr>
          <w:ilvl w:val="0"/>
          <w:numId w:val="37"/>
        </w:numPr>
        <w:autoSpaceDE w:val="0"/>
        <w:autoSpaceDN w:val="0"/>
        <w:adjustRightInd w:val="0"/>
        <w:spacing w:after="0" w:line="240" w:lineRule="auto"/>
        <w:jc w:val="both"/>
        <w:rPr>
          <w:rFonts w:cs="Calibri"/>
        </w:rPr>
      </w:pPr>
      <w:r w:rsidRPr="00393776">
        <w:rPr>
          <w:rFonts w:cs="Calibri"/>
          <w:b/>
          <w:bCs/>
        </w:rPr>
        <w:t xml:space="preserve">applicazione di tale prodotto allo scarto medio aritmetico </w:t>
      </w:r>
      <w:r w:rsidRPr="00393776">
        <w:rPr>
          <w:rFonts w:cs="Calibri"/>
        </w:rPr>
        <w:t>(lett. “</w:t>
      </w:r>
      <w:r w:rsidRPr="00393776">
        <w:rPr>
          <w:rFonts w:cs="Calibri"/>
          <w:i/>
          <w:iCs/>
        </w:rPr>
        <w:t>b</w:t>
      </w:r>
      <w:r w:rsidRPr="00393776">
        <w:rPr>
          <w:rFonts w:cs="Calibri"/>
        </w:rPr>
        <w:t xml:space="preserve">” dell’art. 97, comma 2 </w:t>
      </w:r>
      <w:r w:rsidRPr="00393776">
        <w:rPr>
          <w:rFonts w:cs="Calibri"/>
          <w:i/>
          <w:iCs/>
        </w:rPr>
        <w:t>cit.</w:t>
      </w:r>
      <w:r w:rsidRPr="00393776">
        <w:rPr>
          <w:rFonts w:cs="Calibri"/>
        </w:rPr>
        <w:t xml:space="preserve">): </w:t>
      </w:r>
      <w:r w:rsidRPr="00393776">
        <w:rPr>
          <w:rFonts w:cs="Calibri"/>
          <w:b/>
          <w:bCs/>
        </w:rPr>
        <w:t xml:space="preserve">0,195% </w:t>
      </w:r>
      <w:r w:rsidRPr="00393776">
        <w:rPr>
          <w:rFonts w:cs="Calibri"/>
        </w:rPr>
        <w:t>pari al 18% di 1,085;</w:t>
      </w:r>
    </w:p>
    <w:p w14:paraId="0C14DD53" w14:textId="77777777" w:rsidR="00214F8E" w:rsidRPr="00393776" w:rsidRDefault="00214F8E" w:rsidP="00214F8E">
      <w:pPr>
        <w:pStyle w:val="Paragrafoelenco"/>
        <w:numPr>
          <w:ilvl w:val="0"/>
          <w:numId w:val="37"/>
        </w:numPr>
        <w:autoSpaceDE w:val="0"/>
        <w:autoSpaceDN w:val="0"/>
        <w:adjustRightInd w:val="0"/>
        <w:spacing w:after="0" w:line="240" w:lineRule="auto"/>
        <w:jc w:val="both"/>
        <w:rPr>
          <w:rFonts w:cs="Calibri"/>
        </w:rPr>
      </w:pPr>
      <w:r w:rsidRPr="00393776">
        <w:rPr>
          <w:rFonts w:cs="Calibri"/>
          <w:b/>
          <w:bCs/>
        </w:rPr>
        <w:t xml:space="preserve">sottrazione del valore da ultimo ottenuto alla somma tra media dei ribassi e scarto aritmetico medio </w:t>
      </w:r>
      <w:r w:rsidRPr="00393776">
        <w:rPr>
          <w:rFonts w:cs="Calibri"/>
        </w:rPr>
        <w:t>(lett. “</w:t>
      </w:r>
      <w:r w:rsidRPr="00393776">
        <w:rPr>
          <w:rFonts w:cs="Calibri"/>
          <w:i/>
          <w:iCs/>
        </w:rPr>
        <w:t>c</w:t>
      </w:r>
      <w:r w:rsidRPr="00393776">
        <w:rPr>
          <w:rFonts w:cs="Calibri"/>
        </w:rPr>
        <w:t xml:space="preserve">” dell’art. 97, comma 2 </w:t>
      </w:r>
      <w:r w:rsidRPr="00393776">
        <w:rPr>
          <w:rFonts w:cs="Calibri"/>
          <w:i/>
          <w:iCs/>
        </w:rPr>
        <w:t>cit.</w:t>
      </w:r>
      <w:r w:rsidRPr="00393776">
        <w:rPr>
          <w:rFonts w:cs="Calibri"/>
        </w:rPr>
        <w:t xml:space="preserve">) </w:t>
      </w:r>
      <w:r w:rsidRPr="00393776">
        <w:rPr>
          <w:rFonts w:cs="Calibri"/>
          <w:b/>
          <w:bCs/>
        </w:rPr>
        <w:t xml:space="preserve">al fine di ottenere la soglia </w:t>
      </w:r>
      <w:r w:rsidRPr="00393776">
        <w:rPr>
          <w:rFonts w:cs="Calibri"/>
        </w:rPr>
        <w:t xml:space="preserve">di anomalia del </w:t>
      </w:r>
      <w:r w:rsidRPr="00393776">
        <w:rPr>
          <w:rFonts w:cs="Calibri"/>
          <w:b/>
          <w:bCs/>
        </w:rPr>
        <w:t xml:space="preserve">26,359% </w:t>
      </w:r>
      <w:r w:rsidRPr="00393776">
        <w:rPr>
          <w:rFonts w:cs="Calibri"/>
        </w:rPr>
        <w:t>pari a 26,555% (25,470%+1,085%) - 0,195%.</w:t>
      </w:r>
    </w:p>
    <w:p w14:paraId="177B6C1B" w14:textId="77777777" w:rsidR="00214F8E" w:rsidRPr="00393776" w:rsidRDefault="00214F8E" w:rsidP="00214F8E">
      <w:pPr>
        <w:pStyle w:val="Paragrafoelenco"/>
        <w:autoSpaceDE w:val="0"/>
        <w:autoSpaceDN w:val="0"/>
        <w:adjustRightInd w:val="0"/>
        <w:spacing w:after="0" w:line="240" w:lineRule="auto"/>
        <w:jc w:val="both"/>
        <w:rPr>
          <w:rFonts w:cs="Calibri"/>
        </w:rPr>
      </w:pPr>
    </w:p>
    <w:p w14:paraId="74EF0F10" w14:textId="77777777" w:rsidR="00214F8E" w:rsidRPr="00393776" w:rsidRDefault="00214F8E" w:rsidP="00214F8E">
      <w:pPr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</w:rPr>
      </w:pPr>
      <w:r w:rsidRPr="00393776">
        <w:rPr>
          <w:rFonts w:ascii="Calibri" w:hAnsi="Calibri" w:cs="Calibri"/>
          <w:sz w:val="22"/>
          <w:szCs w:val="22"/>
        </w:rPr>
        <w:t xml:space="preserve">Constatata la correttezza del calcolo dalla Provincia di Ancona, </w:t>
      </w:r>
      <w:r w:rsidRPr="00393776">
        <w:rPr>
          <w:rFonts w:ascii="Calibri" w:hAnsi="Calibri" w:cs="Calibri"/>
          <w:b/>
          <w:bCs/>
          <w:sz w:val="22"/>
          <w:szCs w:val="22"/>
        </w:rPr>
        <w:t>il Consiglio di Stato ha quindi riformato una precedente decisione di primo grado</w:t>
      </w:r>
      <w:r w:rsidRPr="00393776">
        <w:rPr>
          <w:rFonts w:ascii="Calibri" w:hAnsi="Calibri" w:cs="Calibri"/>
          <w:sz w:val="22"/>
          <w:szCs w:val="22"/>
        </w:rPr>
        <w:t xml:space="preserve">, che aveva accolto il ricorso presentato da un concorrente escluso dalla stazione appaltante per offerta anormalmente bassa, </w:t>
      </w:r>
      <w:r w:rsidRPr="00393776">
        <w:rPr>
          <w:rFonts w:ascii="Calibri" w:hAnsi="Calibri" w:cs="Calibri"/>
          <w:b/>
          <w:bCs/>
          <w:sz w:val="22"/>
          <w:szCs w:val="22"/>
        </w:rPr>
        <w:t>confermando l’aggiudicazione all’offerta “non anomala” più bassa</w:t>
      </w:r>
      <w:r w:rsidRPr="00393776">
        <w:rPr>
          <w:rFonts w:ascii="Calibri" w:hAnsi="Calibri" w:cs="Calibri"/>
          <w:sz w:val="22"/>
          <w:szCs w:val="22"/>
        </w:rPr>
        <w:t>.</w:t>
      </w:r>
    </w:p>
    <w:p w14:paraId="1221CF0D" w14:textId="77777777" w:rsidR="00214F8E" w:rsidRPr="00393776" w:rsidRDefault="00214F8E" w:rsidP="00214F8E">
      <w:pPr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</w:rPr>
      </w:pPr>
    </w:p>
    <w:p w14:paraId="3610F17A" w14:textId="77777777" w:rsidR="00214F8E" w:rsidRPr="00393776" w:rsidRDefault="00214F8E" w:rsidP="00214F8E">
      <w:pPr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</w:rPr>
      </w:pPr>
      <w:r w:rsidRPr="00393776">
        <w:rPr>
          <w:rFonts w:ascii="Calibri" w:hAnsi="Calibri" w:cs="Calibri"/>
          <w:sz w:val="22"/>
          <w:szCs w:val="22"/>
        </w:rPr>
        <w:t xml:space="preserve">La sentenza appare dirimente rispetto ad una </w:t>
      </w:r>
      <w:r w:rsidRPr="00393776">
        <w:rPr>
          <w:rFonts w:ascii="Calibri" w:hAnsi="Calibri" w:cs="Calibri"/>
          <w:b/>
          <w:bCs/>
          <w:sz w:val="22"/>
          <w:szCs w:val="22"/>
        </w:rPr>
        <w:t xml:space="preserve">controversia giurisprudenziale sorta in relazione al criterio (unico) di determinazione della soglia di anomalia </w:t>
      </w:r>
      <w:r w:rsidRPr="00393776">
        <w:rPr>
          <w:rFonts w:ascii="Calibri" w:hAnsi="Calibri" w:cs="Calibri"/>
          <w:sz w:val="22"/>
          <w:szCs w:val="22"/>
        </w:rPr>
        <w:t xml:space="preserve">per gare al massimo ribasso sul prezzo </w:t>
      </w:r>
      <w:r w:rsidRPr="00393776">
        <w:rPr>
          <w:rFonts w:ascii="Calibri" w:hAnsi="Calibri" w:cs="Calibri"/>
          <w:b/>
          <w:bCs/>
          <w:sz w:val="22"/>
          <w:szCs w:val="22"/>
        </w:rPr>
        <w:t>con un numero di offerte ammesse pari o superiori a quindici</w:t>
      </w:r>
      <w:r w:rsidRPr="00393776">
        <w:rPr>
          <w:rFonts w:ascii="Calibri" w:hAnsi="Calibri" w:cs="Calibri"/>
          <w:sz w:val="22"/>
          <w:szCs w:val="22"/>
        </w:rPr>
        <w:t>, prevista dall’art. 97 del c.d. Codice dei contratti (d.lgs. n. 50/2016, così come modificato dal Decreto-Legge n. 32/2019, il c.d. Sblocca cantieri, convertito dalla Legge n. 55/2019).</w:t>
      </w:r>
    </w:p>
    <w:p w14:paraId="430CA14C" w14:textId="77777777" w:rsidR="00214F8E" w:rsidRPr="00393776" w:rsidRDefault="00214F8E" w:rsidP="00214F8E">
      <w:pPr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</w:rPr>
      </w:pPr>
    </w:p>
    <w:p w14:paraId="5694C17E" w14:textId="178B82F2" w:rsidR="00214F8E" w:rsidRPr="00393776" w:rsidRDefault="00214F8E" w:rsidP="00214F8E">
      <w:pPr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</w:rPr>
      </w:pPr>
      <w:r w:rsidRPr="00393776">
        <w:rPr>
          <w:rFonts w:ascii="Calibri" w:hAnsi="Calibri" w:cs="Calibri"/>
          <w:sz w:val="22"/>
          <w:szCs w:val="22"/>
        </w:rPr>
        <w:t xml:space="preserve">Tale incertezza sussisteva nonostante fossero – come visto - oggetto della suddetta controversia </w:t>
      </w:r>
      <w:r w:rsidRPr="00393776">
        <w:rPr>
          <w:rFonts w:ascii="Calibri" w:hAnsi="Calibri" w:cs="Calibri"/>
          <w:b/>
          <w:bCs/>
          <w:sz w:val="22"/>
          <w:szCs w:val="22"/>
        </w:rPr>
        <w:t>le corrette modalità di calcolo del “</w:t>
      </w:r>
      <w:r w:rsidRPr="00393776">
        <w:rPr>
          <w:rFonts w:ascii="Calibri" w:hAnsi="Calibri" w:cs="Calibri"/>
          <w:b/>
          <w:bCs/>
          <w:i/>
          <w:iCs/>
          <w:sz w:val="22"/>
          <w:szCs w:val="22"/>
        </w:rPr>
        <w:t>decremento percentuale</w:t>
      </w:r>
      <w:r w:rsidRPr="00393776">
        <w:rPr>
          <w:rFonts w:ascii="Calibri" w:hAnsi="Calibri" w:cs="Calibri"/>
          <w:b/>
          <w:bCs/>
          <w:sz w:val="22"/>
          <w:szCs w:val="22"/>
        </w:rPr>
        <w:t>”</w:t>
      </w:r>
      <w:r w:rsidRPr="00393776">
        <w:rPr>
          <w:rFonts w:ascii="Calibri" w:hAnsi="Calibri" w:cs="Calibri"/>
          <w:sz w:val="22"/>
          <w:szCs w:val="22"/>
        </w:rPr>
        <w:t xml:space="preserve">, su cui si era </w:t>
      </w:r>
      <w:r w:rsidRPr="00393776">
        <w:rPr>
          <w:rFonts w:ascii="Calibri" w:hAnsi="Calibri" w:cs="Calibri"/>
          <w:b/>
          <w:bCs/>
          <w:sz w:val="22"/>
          <w:szCs w:val="22"/>
        </w:rPr>
        <w:t xml:space="preserve">già espresso il Ministero delle Infrastrutture e dei Trasporti con circolare interpretativa </w:t>
      </w:r>
      <w:r w:rsidRPr="00393776">
        <w:rPr>
          <w:rFonts w:ascii="Calibri" w:hAnsi="Calibri" w:cs="Calibri"/>
          <w:sz w:val="22"/>
          <w:szCs w:val="22"/>
        </w:rPr>
        <w:t>n. 8 del 24 ottobre 2019.</w:t>
      </w:r>
    </w:p>
    <w:p w14:paraId="23CFD34B" w14:textId="77777777" w:rsidR="00214F8E" w:rsidRPr="00393776" w:rsidRDefault="00214F8E" w:rsidP="00214F8E">
      <w:pPr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</w:rPr>
      </w:pPr>
    </w:p>
    <w:p w14:paraId="76E9B9E3" w14:textId="77777777" w:rsidR="00214F8E" w:rsidRPr="00393776" w:rsidRDefault="00214F8E" w:rsidP="00214F8E">
      <w:pPr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</w:rPr>
      </w:pPr>
      <w:r w:rsidRPr="00393776">
        <w:rPr>
          <w:rFonts w:ascii="Calibri" w:hAnsi="Calibri" w:cs="Calibri"/>
          <w:sz w:val="22"/>
          <w:szCs w:val="22"/>
        </w:rPr>
        <w:t xml:space="preserve">A distanza di un anno dal decreto sblocca cantieri, il Consiglio di Stato ha quindi aderito all’orientamento Ministeriale, </w:t>
      </w:r>
      <w:r w:rsidRPr="00393776">
        <w:rPr>
          <w:rFonts w:ascii="Calibri" w:hAnsi="Calibri" w:cs="Calibri"/>
          <w:b/>
          <w:bCs/>
          <w:sz w:val="22"/>
          <w:szCs w:val="22"/>
        </w:rPr>
        <w:t xml:space="preserve">dando conferma definitiva all’interpretazione che era stata peraltro sostenuta fin dal principio dall’ANCE </w:t>
      </w:r>
      <w:r w:rsidRPr="00393776">
        <w:rPr>
          <w:rFonts w:ascii="Calibri" w:hAnsi="Calibri" w:cs="Calibri"/>
          <w:sz w:val="22"/>
          <w:szCs w:val="22"/>
        </w:rPr>
        <w:t>nel vademecum “Calcolo della soglia di anomalia”.</w:t>
      </w:r>
    </w:p>
    <w:p w14:paraId="7F8D2AE7" w14:textId="77777777" w:rsidR="00214F8E" w:rsidRPr="00393776" w:rsidRDefault="00214F8E" w:rsidP="00214F8E">
      <w:pPr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</w:rPr>
      </w:pPr>
    </w:p>
    <w:p w14:paraId="65B3E06B" w14:textId="77777777" w:rsidR="00214F8E" w:rsidRPr="00393776" w:rsidRDefault="00214F8E" w:rsidP="00214F8E">
      <w:pPr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</w:rPr>
      </w:pPr>
      <w:r w:rsidRPr="00393776">
        <w:rPr>
          <w:rFonts w:ascii="Calibri" w:hAnsi="Calibri" w:cs="Calibri"/>
          <w:sz w:val="22"/>
          <w:szCs w:val="22"/>
        </w:rPr>
        <w:t>_____________</w:t>
      </w:r>
    </w:p>
    <w:p w14:paraId="40B5567E" w14:textId="77777777" w:rsidR="00214F8E" w:rsidRPr="00393776" w:rsidRDefault="00214F8E" w:rsidP="00214F8E">
      <w:pPr>
        <w:autoSpaceDE w:val="0"/>
        <w:autoSpaceDN w:val="0"/>
        <w:adjustRightInd w:val="0"/>
        <w:jc w:val="both"/>
        <w:rPr>
          <w:rFonts w:ascii="Calibri" w:hAnsi="Calibri" w:cs="Calibri"/>
          <w:b/>
          <w:bCs/>
          <w:i/>
          <w:iCs/>
          <w:sz w:val="22"/>
          <w:szCs w:val="22"/>
        </w:rPr>
      </w:pPr>
      <w:r w:rsidRPr="00393776">
        <w:rPr>
          <w:rFonts w:ascii="Calibri" w:hAnsi="Calibri" w:cs="Calibri"/>
          <w:b/>
          <w:bCs/>
          <w:i/>
          <w:iCs/>
          <w:sz w:val="22"/>
          <w:szCs w:val="22"/>
        </w:rPr>
        <w:t>Riferimenti</w:t>
      </w:r>
    </w:p>
    <w:p w14:paraId="07C3EFA7" w14:textId="77777777" w:rsidR="00214F8E" w:rsidRPr="00393776" w:rsidRDefault="00214F8E" w:rsidP="00214F8E">
      <w:pPr>
        <w:shd w:val="clear" w:color="auto" w:fill="FFFFFF"/>
        <w:ind w:left="357" w:hanging="215"/>
        <w:jc w:val="both"/>
        <w:rPr>
          <w:rFonts w:ascii="Calibri" w:hAnsi="Calibri" w:cs="Calibri"/>
          <w:color w:val="5A5A5A"/>
          <w:sz w:val="22"/>
          <w:szCs w:val="22"/>
        </w:rPr>
      </w:pPr>
      <w:r w:rsidRPr="00393776">
        <w:rPr>
          <w:rFonts w:ascii="Calibri" w:eastAsia="Symbol" w:hAnsi="Calibri" w:cs="Calibri"/>
          <w:color w:val="5A5A5A"/>
          <w:sz w:val="22"/>
          <w:szCs w:val="22"/>
        </w:rPr>
        <w:t xml:space="preserve">·  </w:t>
      </w:r>
      <w:hyperlink r:id="rId7" w:tgtFrame="_blank" w:history="1">
        <w:r w:rsidRPr="00393776">
          <w:rPr>
            <w:rFonts w:ascii="Calibri" w:hAnsi="Calibri" w:cs="Calibri"/>
            <w:color w:val="002D55"/>
            <w:sz w:val="22"/>
            <w:szCs w:val="22"/>
            <w:u w:val="single"/>
          </w:rPr>
          <w:t>Consiglio di Stato, sez. V, 06.05.2020 n. 2856</w:t>
        </w:r>
      </w:hyperlink>
    </w:p>
    <w:p w14:paraId="02CD7EE9" w14:textId="77777777" w:rsidR="00214F8E" w:rsidRPr="00393776" w:rsidRDefault="00214F8E" w:rsidP="00214F8E">
      <w:pPr>
        <w:shd w:val="clear" w:color="auto" w:fill="FFFFFF"/>
        <w:ind w:left="357" w:hanging="215"/>
        <w:jc w:val="both"/>
        <w:rPr>
          <w:rFonts w:ascii="Calibri" w:hAnsi="Calibri" w:cs="Calibri"/>
          <w:color w:val="5A5A5A"/>
          <w:sz w:val="22"/>
          <w:szCs w:val="22"/>
        </w:rPr>
      </w:pPr>
      <w:r w:rsidRPr="00393776">
        <w:rPr>
          <w:rFonts w:ascii="Calibri" w:hAnsi="Calibri" w:cs="Calibri"/>
          <w:color w:val="000000"/>
          <w:sz w:val="22"/>
          <w:szCs w:val="22"/>
        </w:rPr>
        <w:t> </w:t>
      </w:r>
    </w:p>
    <w:p w14:paraId="6EFABF71" w14:textId="248F4E22" w:rsidR="00371573" w:rsidRPr="00C50C7E" w:rsidRDefault="00371573" w:rsidP="00B71AF1">
      <w:pPr>
        <w:jc w:val="both"/>
        <w:rPr>
          <w:rFonts w:ascii="Calibri" w:hAnsi="Calibri" w:cs="Arial"/>
          <w:color w:val="000000"/>
          <w:sz w:val="22"/>
          <w:szCs w:val="22"/>
        </w:rPr>
      </w:pPr>
    </w:p>
    <w:p w14:paraId="1F422845" w14:textId="480F9B29" w:rsidR="00371573" w:rsidRPr="00C50C7E" w:rsidRDefault="00371573" w:rsidP="00B71AF1">
      <w:pPr>
        <w:jc w:val="both"/>
        <w:rPr>
          <w:rFonts w:ascii="Calibri" w:hAnsi="Calibri" w:cs="Arial"/>
          <w:color w:val="000000"/>
          <w:sz w:val="22"/>
          <w:szCs w:val="22"/>
        </w:rPr>
      </w:pPr>
    </w:p>
    <w:p w14:paraId="19C0414C" w14:textId="77777777" w:rsidR="00371573" w:rsidRPr="00C50C7E" w:rsidRDefault="00371573" w:rsidP="00B71AF1">
      <w:pPr>
        <w:jc w:val="both"/>
        <w:rPr>
          <w:rFonts w:ascii="Calibri" w:hAnsi="Calibri" w:cs="Arial"/>
          <w:color w:val="000000"/>
          <w:sz w:val="22"/>
          <w:szCs w:val="22"/>
        </w:rPr>
      </w:pPr>
    </w:p>
    <w:p w14:paraId="559C0EBE" w14:textId="77777777" w:rsidR="006411DF" w:rsidRPr="00C50C7E" w:rsidRDefault="006411DF" w:rsidP="00B71AF1">
      <w:pPr>
        <w:pStyle w:val="NormaleWeb"/>
        <w:jc w:val="both"/>
        <w:rPr>
          <w:rStyle w:val="Enfasigrassetto"/>
          <w:rFonts w:ascii="Calibri" w:hAnsi="Calibri"/>
          <w:sz w:val="22"/>
          <w:szCs w:val="22"/>
        </w:rPr>
      </w:pPr>
      <w:r w:rsidRPr="00C50C7E">
        <w:rPr>
          <w:rStyle w:val="Enfasigrassetto"/>
          <w:rFonts w:ascii="Calibri" w:hAnsi="Calibri"/>
          <w:sz w:val="22"/>
          <w:szCs w:val="22"/>
        </w:rPr>
        <w:t>Riferimenti:</w:t>
      </w:r>
    </w:p>
    <w:p w14:paraId="5EEE77D9" w14:textId="77777777" w:rsidR="006411DF" w:rsidRPr="00C50C7E" w:rsidRDefault="006411DF" w:rsidP="00B71AF1">
      <w:pPr>
        <w:pStyle w:val="NormaleWeb"/>
        <w:jc w:val="both"/>
        <w:rPr>
          <w:rFonts w:ascii="Calibri" w:hAnsi="Calibri"/>
          <w:sz w:val="22"/>
          <w:szCs w:val="22"/>
        </w:rPr>
      </w:pPr>
      <w:r w:rsidRPr="00C50C7E">
        <w:rPr>
          <w:rFonts w:ascii="Calibri" w:hAnsi="Calibri"/>
          <w:sz w:val="22"/>
          <w:szCs w:val="22"/>
        </w:rPr>
        <w:t>ANCE UMBRIA</w:t>
      </w:r>
    </w:p>
    <w:p w14:paraId="7D78A98D" w14:textId="6B907D09" w:rsidR="006411DF" w:rsidRPr="00C50C7E" w:rsidRDefault="006411DF" w:rsidP="00B71AF1">
      <w:pPr>
        <w:pStyle w:val="NormaleWeb"/>
        <w:jc w:val="both"/>
        <w:rPr>
          <w:rFonts w:ascii="Calibri" w:hAnsi="Calibri"/>
          <w:sz w:val="22"/>
          <w:szCs w:val="22"/>
        </w:rPr>
      </w:pPr>
      <w:r w:rsidRPr="00C50C7E">
        <w:rPr>
          <w:rFonts w:ascii="Calibri" w:hAnsi="Calibri"/>
          <w:sz w:val="22"/>
          <w:szCs w:val="22"/>
        </w:rPr>
        <w:t xml:space="preserve">Perugia – </w:t>
      </w:r>
      <w:hyperlink r:id="rId8" w:history="1">
        <w:r w:rsidRPr="00C50C7E">
          <w:rPr>
            <w:rStyle w:val="Collegamentoipertestuale"/>
            <w:rFonts w:ascii="Calibri" w:hAnsi="Calibri"/>
            <w:sz w:val="22"/>
            <w:szCs w:val="22"/>
          </w:rPr>
          <w:t>info@anceumbria.it</w:t>
        </w:r>
      </w:hyperlink>
      <w:r w:rsidRPr="00C50C7E">
        <w:rPr>
          <w:rFonts w:ascii="Calibri" w:hAnsi="Calibri"/>
          <w:sz w:val="22"/>
          <w:szCs w:val="22"/>
        </w:rPr>
        <w:t xml:space="preserve"> - Tel. 075/582751</w:t>
      </w:r>
    </w:p>
    <w:p w14:paraId="190D91BE" w14:textId="469279D8" w:rsidR="006411DF" w:rsidRPr="00C50C7E" w:rsidRDefault="006411DF" w:rsidP="00B71AF1">
      <w:pPr>
        <w:pStyle w:val="NormaleWeb"/>
        <w:jc w:val="both"/>
        <w:rPr>
          <w:rFonts w:ascii="Calibri" w:hAnsi="Calibri"/>
          <w:sz w:val="22"/>
          <w:szCs w:val="22"/>
        </w:rPr>
      </w:pPr>
      <w:r w:rsidRPr="00C50C7E">
        <w:rPr>
          <w:rFonts w:ascii="Calibri" w:hAnsi="Calibri"/>
          <w:sz w:val="22"/>
          <w:szCs w:val="22"/>
        </w:rPr>
        <w:t xml:space="preserve">Terni - </w:t>
      </w:r>
      <w:hyperlink r:id="rId9" w:history="1">
        <w:r w:rsidRPr="00C50C7E">
          <w:rPr>
            <w:rStyle w:val="Collegamentoipertestuale"/>
            <w:rFonts w:ascii="Calibri" w:hAnsi="Calibri"/>
            <w:sz w:val="22"/>
            <w:szCs w:val="22"/>
          </w:rPr>
          <w:t>edilizia@confindustria.terni.it</w:t>
        </w:r>
      </w:hyperlink>
      <w:r w:rsidRPr="00C50C7E">
        <w:rPr>
          <w:rFonts w:ascii="Calibri" w:hAnsi="Calibri"/>
          <w:sz w:val="22"/>
          <w:szCs w:val="22"/>
        </w:rPr>
        <w:t xml:space="preserve"> - Tel. 0744/443411</w:t>
      </w:r>
    </w:p>
    <w:p w14:paraId="389CE1E4" w14:textId="7F95CC6F" w:rsidR="005A6420" w:rsidRPr="00C50C7E" w:rsidRDefault="005A6420" w:rsidP="00B71AF1">
      <w:pPr>
        <w:tabs>
          <w:tab w:val="left" w:pos="720"/>
          <w:tab w:val="left" w:pos="900"/>
          <w:tab w:val="left" w:pos="1260"/>
          <w:tab w:val="left" w:pos="5580"/>
          <w:tab w:val="left" w:pos="6120"/>
        </w:tabs>
        <w:ind w:left="142" w:right="-2"/>
        <w:jc w:val="both"/>
        <w:rPr>
          <w:rFonts w:ascii="Calibri" w:hAnsi="Calibri" w:cs="Calibri"/>
          <w:sz w:val="22"/>
          <w:szCs w:val="22"/>
        </w:rPr>
      </w:pPr>
    </w:p>
    <w:p w14:paraId="30D0B7A2" w14:textId="52219EB0" w:rsidR="00371573" w:rsidRPr="00C50C7E" w:rsidRDefault="00371573" w:rsidP="00B71AF1">
      <w:pPr>
        <w:tabs>
          <w:tab w:val="left" w:pos="720"/>
          <w:tab w:val="left" w:pos="900"/>
          <w:tab w:val="left" w:pos="1260"/>
          <w:tab w:val="left" w:pos="5580"/>
          <w:tab w:val="left" w:pos="6120"/>
        </w:tabs>
        <w:ind w:left="142" w:right="-2"/>
        <w:jc w:val="both"/>
        <w:rPr>
          <w:rFonts w:ascii="Calibri" w:hAnsi="Calibri" w:cs="Calibri"/>
          <w:sz w:val="22"/>
          <w:szCs w:val="22"/>
        </w:rPr>
      </w:pPr>
    </w:p>
    <w:p w14:paraId="6ED1A1CC" w14:textId="7B390378" w:rsidR="00371573" w:rsidRPr="00C50C7E" w:rsidRDefault="00371573" w:rsidP="00B71AF1">
      <w:pPr>
        <w:tabs>
          <w:tab w:val="left" w:pos="720"/>
          <w:tab w:val="left" w:pos="900"/>
          <w:tab w:val="left" w:pos="1260"/>
          <w:tab w:val="left" w:pos="5580"/>
          <w:tab w:val="left" w:pos="6120"/>
        </w:tabs>
        <w:ind w:left="142" w:right="-2"/>
        <w:jc w:val="both"/>
        <w:rPr>
          <w:rFonts w:ascii="Calibri" w:hAnsi="Calibri" w:cs="Calibri"/>
          <w:sz w:val="22"/>
          <w:szCs w:val="22"/>
        </w:rPr>
      </w:pPr>
    </w:p>
    <w:p w14:paraId="5547163E" w14:textId="232D27E9" w:rsidR="00371573" w:rsidRPr="00C50C7E" w:rsidRDefault="00371573" w:rsidP="00B71AF1">
      <w:pPr>
        <w:tabs>
          <w:tab w:val="left" w:pos="720"/>
          <w:tab w:val="left" w:pos="900"/>
          <w:tab w:val="left" w:pos="1260"/>
          <w:tab w:val="left" w:pos="5580"/>
          <w:tab w:val="left" w:pos="6120"/>
        </w:tabs>
        <w:ind w:left="142" w:right="-2"/>
        <w:jc w:val="both"/>
        <w:rPr>
          <w:rFonts w:ascii="Calibri" w:hAnsi="Calibri" w:cs="Calibri"/>
          <w:sz w:val="22"/>
          <w:szCs w:val="22"/>
        </w:rPr>
      </w:pPr>
    </w:p>
    <w:p w14:paraId="1660D1E4" w14:textId="77777777" w:rsidR="00371573" w:rsidRPr="00C50C7E" w:rsidRDefault="00371573" w:rsidP="00B71AF1">
      <w:pPr>
        <w:tabs>
          <w:tab w:val="left" w:pos="720"/>
          <w:tab w:val="left" w:pos="900"/>
          <w:tab w:val="left" w:pos="1260"/>
          <w:tab w:val="left" w:pos="5580"/>
          <w:tab w:val="left" w:pos="6120"/>
        </w:tabs>
        <w:ind w:left="142" w:right="-2"/>
        <w:jc w:val="both"/>
        <w:rPr>
          <w:rFonts w:ascii="Calibri" w:hAnsi="Calibri" w:cs="Calibri"/>
          <w:sz w:val="22"/>
          <w:szCs w:val="22"/>
        </w:rPr>
      </w:pPr>
    </w:p>
    <w:p w14:paraId="7FBCA73E" w14:textId="19347F73" w:rsidR="00783E6E" w:rsidRPr="00C50C7E" w:rsidRDefault="00952E48" w:rsidP="00B71AF1">
      <w:pPr>
        <w:tabs>
          <w:tab w:val="left" w:pos="720"/>
          <w:tab w:val="left" w:pos="900"/>
          <w:tab w:val="left" w:pos="1260"/>
          <w:tab w:val="left" w:pos="5580"/>
          <w:tab w:val="left" w:pos="6120"/>
        </w:tabs>
        <w:ind w:left="142" w:right="-2"/>
        <w:jc w:val="right"/>
        <w:rPr>
          <w:rFonts w:ascii="Calibri" w:hAnsi="Calibri" w:cs="Calibri"/>
          <w:sz w:val="22"/>
          <w:szCs w:val="22"/>
        </w:rPr>
      </w:pPr>
      <w:r w:rsidRPr="00C50C7E">
        <w:rPr>
          <w:rFonts w:ascii="Calibri" w:hAnsi="Calibri" w:cs="Calibri"/>
          <w:sz w:val="22"/>
          <w:szCs w:val="22"/>
        </w:rPr>
        <w:t xml:space="preserve">Pubblicato il </w:t>
      </w:r>
      <w:r w:rsidR="00214F8E">
        <w:rPr>
          <w:rFonts w:ascii="Calibri" w:hAnsi="Calibri" w:cs="Calibri"/>
          <w:sz w:val="22"/>
          <w:szCs w:val="22"/>
        </w:rPr>
        <w:t>05</w:t>
      </w:r>
      <w:r w:rsidR="00197786" w:rsidRPr="00C50C7E">
        <w:rPr>
          <w:rFonts w:ascii="Calibri" w:hAnsi="Calibri" w:cs="Calibri"/>
          <w:sz w:val="22"/>
          <w:szCs w:val="22"/>
        </w:rPr>
        <w:t>/0</w:t>
      </w:r>
      <w:r w:rsidR="00214F8E">
        <w:rPr>
          <w:rFonts w:ascii="Calibri" w:hAnsi="Calibri" w:cs="Calibri"/>
          <w:sz w:val="22"/>
          <w:szCs w:val="22"/>
        </w:rPr>
        <w:t>6</w:t>
      </w:r>
      <w:r w:rsidR="00297F87" w:rsidRPr="00C50C7E">
        <w:rPr>
          <w:rFonts w:ascii="Calibri" w:hAnsi="Calibri" w:cs="Calibri"/>
          <w:sz w:val="22"/>
          <w:szCs w:val="22"/>
        </w:rPr>
        <w:t>/2020</w:t>
      </w:r>
    </w:p>
    <w:sectPr w:rsidR="00783E6E" w:rsidRPr="00C50C7E" w:rsidSect="004E62C8">
      <w:headerReference w:type="first" r:id="rId10"/>
      <w:footerReference w:type="first" r:id="rId11"/>
      <w:type w:val="continuous"/>
      <w:pgSz w:w="11906" w:h="16838" w:code="9"/>
      <w:pgMar w:top="993" w:right="1134" w:bottom="899" w:left="1985" w:header="1080" w:footer="381" w:gutter="0"/>
      <w:cols w:space="709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3B7023B" w14:textId="77777777" w:rsidR="00466930" w:rsidRDefault="00466930">
      <w:r>
        <w:separator/>
      </w:r>
    </w:p>
  </w:endnote>
  <w:endnote w:type="continuationSeparator" w:id="0">
    <w:p w14:paraId="5DEADF4D" w14:textId="77777777" w:rsidR="00466930" w:rsidRDefault="004669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Futura LT Book">
    <w:altName w:val="Century Gothic"/>
    <w:charset w:val="00"/>
    <w:family w:val="auto"/>
    <w:pitch w:val="variable"/>
    <w:sig w:usb0="00000003" w:usb1="00000000" w:usb2="00000000" w:usb3="00000000" w:csb0="00000001" w:csb1="00000000"/>
  </w:font>
  <w:font w:name="Futura LT Light">
    <w:altName w:val="Century Gothic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634F788" w14:textId="77777777" w:rsidR="00151BDD" w:rsidRPr="004C2CC8" w:rsidRDefault="00BC4801" w:rsidP="00474ADE">
    <w:pPr>
      <w:tabs>
        <w:tab w:val="left" w:pos="900"/>
        <w:tab w:val="left" w:pos="1260"/>
        <w:tab w:val="left" w:pos="1620"/>
      </w:tabs>
      <w:rPr>
        <w:rFonts w:ascii="Futura LT Book" w:hAnsi="Futura LT Book"/>
        <w:b/>
        <w:color w:val="205394"/>
        <w:sz w:val="16"/>
        <w:szCs w:val="16"/>
      </w:rPr>
    </w:pPr>
    <w:r>
      <w:rPr>
        <w:rFonts w:ascii="Futura LT Book" w:hAnsi="Futura LT Book"/>
        <w:b/>
        <w:color w:val="205394"/>
        <w:sz w:val="16"/>
        <w:szCs w:val="16"/>
      </w:rPr>
      <w:t>Confindustria Umbria</w:t>
    </w:r>
  </w:p>
  <w:p w14:paraId="3908D6ED" w14:textId="77777777" w:rsidR="00151BDD" w:rsidRPr="004C2CC8" w:rsidRDefault="00BC4801" w:rsidP="00474ADE">
    <w:pPr>
      <w:tabs>
        <w:tab w:val="left" w:pos="900"/>
        <w:tab w:val="left" w:pos="1260"/>
        <w:tab w:val="left" w:pos="1620"/>
      </w:tabs>
      <w:rPr>
        <w:rFonts w:ascii="Futura LT Book" w:hAnsi="Futura LT Book"/>
        <w:color w:val="205394"/>
        <w:sz w:val="16"/>
        <w:szCs w:val="16"/>
      </w:rPr>
    </w:pPr>
    <w:r w:rsidRPr="004C2CC8">
      <w:rPr>
        <w:rFonts w:ascii="Futura LT Book" w:hAnsi="Futura LT Book"/>
        <w:color w:val="205394"/>
        <w:sz w:val="16"/>
        <w:szCs w:val="16"/>
      </w:rPr>
      <w:t xml:space="preserve">Via Palermo, 80/A </w:t>
    </w:r>
    <w:r w:rsidR="00151BDD" w:rsidRPr="004C2CC8">
      <w:rPr>
        <w:rFonts w:ascii="Futura LT Book" w:hAnsi="Futura LT Book"/>
        <w:color w:val="205394"/>
        <w:sz w:val="16"/>
        <w:szCs w:val="16"/>
      </w:rPr>
      <w:t>0612</w:t>
    </w:r>
    <w:r w:rsidR="001E720B" w:rsidRPr="004C2CC8">
      <w:rPr>
        <w:rFonts w:ascii="Futura LT Book" w:hAnsi="Futura LT Book"/>
        <w:color w:val="205394"/>
        <w:sz w:val="16"/>
        <w:szCs w:val="16"/>
      </w:rPr>
      <w:t>4</w:t>
    </w:r>
    <w:r w:rsidR="00151BDD" w:rsidRPr="004C2CC8">
      <w:rPr>
        <w:rFonts w:ascii="Futura LT Book" w:hAnsi="Futura LT Book"/>
        <w:color w:val="205394"/>
        <w:sz w:val="16"/>
        <w:szCs w:val="16"/>
      </w:rPr>
      <w:t xml:space="preserve"> Perugia </w:t>
    </w:r>
  </w:p>
  <w:p w14:paraId="232A169E" w14:textId="77777777" w:rsidR="00151BDD" w:rsidRPr="004C2CC8" w:rsidRDefault="00151BDD" w:rsidP="00474ADE">
    <w:pPr>
      <w:tabs>
        <w:tab w:val="left" w:pos="900"/>
        <w:tab w:val="left" w:pos="1260"/>
        <w:tab w:val="left" w:pos="1620"/>
      </w:tabs>
      <w:rPr>
        <w:rFonts w:ascii="Futura LT Book" w:hAnsi="Futura LT Book"/>
        <w:color w:val="205394"/>
        <w:sz w:val="16"/>
        <w:szCs w:val="16"/>
      </w:rPr>
    </w:pPr>
    <w:r w:rsidRPr="004C2CC8">
      <w:rPr>
        <w:rFonts w:ascii="Futura LT Book" w:hAnsi="Futura LT Book"/>
        <w:color w:val="205394"/>
        <w:sz w:val="16"/>
        <w:szCs w:val="16"/>
      </w:rPr>
      <w:t>Telefono 075 582</w:t>
    </w:r>
    <w:r w:rsidR="00CB1898" w:rsidRPr="004C2CC8">
      <w:rPr>
        <w:rFonts w:ascii="Futura LT Book" w:hAnsi="Futura LT Book"/>
        <w:color w:val="205394"/>
        <w:sz w:val="16"/>
        <w:szCs w:val="16"/>
      </w:rPr>
      <w:t>01</w:t>
    </w:r>
    <w:r w:rsidRPr="004C2CC8">
      <w:rPr>
        <w:rFonts w:ascii="Futura LT Book" w:hAnsi="Futura LT Book"/>
        <w:color w:val="205394"/>
        <w:sz w:val="16"/>
        <w:szCs w:val="16"/>
      </w:rPr>
      <w:t xml:space="preserve"> – Fax 075 </w:t>
    </w:r>
    <w:r w:rsidR="00CB1898" w:rsidRPr="004C2CC8">
      <w:rPr>
        <w:rFonts w:ascii="Futura LT Book" w:hAnsi="Futura LT Book"/>
        <w:color w:val="205394"/>
        <w:sz w:val="16"/>
        <w:szCs w:val="16"/>
      </w:rPr>
      <w:t>32160</w:t>
    </w:r>
  </w:p>
  <w:p w14:paraId="20B2810B" w14:textId="77777777" w:rsidR="00151BDD" w:rsidRPr="004C2CC8" w:rsidRDefault="00952E48" w:rsidP="00474ADE">
    <w:pPr>
      <w:tabs>
        <w:tab w:val="left" w:pos="900"/>
        <w:tab w:val="left" w:pos="1260"/>
        <w:tab w:val="left" w:pos="1620"/>
      </w:tabs>
      <w:rPr>
        <w:rFonts w:ascii="Futura LT Book" w:hAnsi="Futura LT Book"/>
        <w:color w:val="205394"/>
        <w:sz w:val="16"/>
        <w:szCs w:val="16"/>
      </w:rPr>
    </w:pPr>
    <w:r>
      <w:rPr>
        <w:rFonts w:ascii="Futura LT Book" w:hAnsi="Futura LT Book"/>
        <w:color w:val="205394"/>
        <w:sz w:val="16"/>
        <w:szCs w:val="16"/>
      </w:rPr>
      <w:t>notiziario</w:t>
    </w:r>
    <w:r w:rsidR="00151BDD" w:rsidRPr="004C2CC8">
      <w:rPr>
        <w:rFonts w:ascii="Futura LT Book" w:hAnsi="Futura LT Book"/>
        <w:color w:val="205394"/>
        <w:sz w:val="16"/>
        <w:szCs w:val="16"/>
      </w:rPr>
      <w:t>@confindustria.umbria.it   www.confindustria.umbria.it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D64BB47" w14:textId="77777777" w:rsidR="00466930" w:rsidRDefault="00466930">
      <w:r>
        <w:separator/>
      </w:r>
    </w:p>
  </w:footnote>
  <w:footnote w:type="continuationSeparator" w:id="0">
    <w:p w14:paraId="6505842B" w14:textId="77777777" w:rsidR="00466930" w:rsidRDefault="004669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12578" w:type="dxa"/>
      <w:tblInd w:w="-792" w:type="dxa"/>
      <w:tblLayout w:type="fixed"/>
      <w:tblLook w:val="01E0" w:firstRow="1" w:lastRow="1" w:firstColumn="1" w:lastColumn="1" w:noHBand="0" w:noVBand="0"/>
    </w:tblPr>
    <w:tblGrid>
      <w:gridCol w:w="900"/>
      <w:gridCol w:w="5421"/>
      <w:gridCol w:w="1653"/>
      <w:gridCol w:w="4604"/>
    </w:tblGrid>
    <w:tr w:rsidR="001867E9" w14:paraId="1C413A52" w14:textId="77777777" w:rsidTr="00952E48">
      <w:tc>
        <w:tcPr>
          <w:tcW w:w="900" w:type="dxa"/>
        </w:tcPr>
        <w:p w14:paraId="13A69F8E" w14:textId="77777777" w:rsidR="001867E9" w:rsidRDefault="00466930">
          <w:pPr>
            <w:tabs>
              <w:tab w:val="left" w:pos="720"/>
              <w:tab w:val="left" w:pos="900"/>
              <w:tab w:val="left" w:pos="1260"/>
              <w:tab w:val="left" w:pos="1980"/>
            </w:tabs>
          </w:pPr>
          <w:r>
            <w:rPr>
              <w:noProof/>
              <w:color w:val="205394"/>
            </w:rPr>
            <w:pict w14:anchorId="6656F282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magine 3" o:spid="_x0000_i1025" type="#_x0000_t75" alt="acquila" style="width:41pt;height:39pt;visibility:visible">
                <v:imagedata r:id="rId1" o:title="acquila"/>
              </v:shape>
            </w:pict>
          </w:r>
        </w:p>
      </w:tc>
      <w:tc>
        <w:tcPr>
          <w:tcW w:w="5421" w:type="dxa"/>
          <w:vAlign w:val="bottom"/>
        </w:tcPr>
        <w:p w14:paraId="7A43C720" w14:textId="77777777" w:rsidR="001867E9" w:rsidRPr="00895D5A" w:rsidRDefault="001867E9">
          <w:pPr>
            <w:tabs>
              <w:tab w:val="left" w:pos="720"/>
              <w:tab w:val="left" w:pos="900"/>
              <w:tab w:val="left" w:pos="1260"/>
              <w:tab w:val="left" w:pos="1980"/>
            </w:tabs>
            <w:ind w:left="-108"/>
            <w:rPr>
              <w:rFonts w:ascii="Futura LT Book" w:hAnsi="Futura LT Book"/>
              <w:color w:val="205394"/>
              <w:sz w:val="20"/>
              <w:szCs w:val="20"/>
            </w:rPr>
          </w:pPr>
          <w:r w:rsidRPr="00895D5A">
            <w:rPr>
              <w:rFonts w:ascii="Futura LT Book" w:hAnsi="Futura LT Book"/>
              <w:color w:val="205394"/>
              <w:sz w:val="20"/>
              <w:szCs w:val="20"/>
            </w:rPr>
            <w:t>CONFINDUSTRIA</w:t>
          </w:r>
          <w:r w:rsidR="00CB1898" w:rsidRPr="00895D5A">
            <w:rPr>
              <w:rFonts w:ascii="Futura LT Book" w:hAnsi="Futura LT Book"/>
              <w:color w:val="205394"/>
              <w:sz w:val="20"/>
              <w:szCs w:val="20"/>
            </w:rPr>
            <w:t xml:space="preserve"> UMBRIA</w:t>
          </w:r>
          <w:r w:rsidR="00952E48">
            <w:rPr>
              <w:rFonts w:ascii="Futura LT Book" w:hAnsi="Futura LT Book"/>
              <w:color w:val="205394"/>
              <w:sz w:val="20"/>
              <w:szCs w:val="20"/>
            </w:rPr>
            <w:t xml:space="preserve"> </w:t>
          </w:r>
          <w:r w:rsidR="00952E48" w:rsidRPr="00952E48">
            <w:rPr>
              <w:rFonts w:ascii="Futura LT Book" w:hAnsi="Futura LT Book"/>
              <w:color w:val="205394"/>
              <w:sz w:val="20"/>
              <w:szCs w:val="20"/>
            </w:rPr>
            <w:t>NEWS</w:t>
          </w:r>
          <w:r w:rsidR="00952E48">
            <w:rPr>
              <w:rFonts w:ascii="Futura LT Book" w:hAnsi="Futura LT Book"/>
              <w:color w:val="205394"/>
              <w:sz w:val="20"/>
              <w:szCs w:val="20"/>
            </w:rPr>
            <w:t xml:space="preserve"> </w:t>
          </w:r>
        </w:p>
      </w:tc>
      <w:tc>
        <w:tcPr>
          <w:tcW w:w="1653" w:type="dxa"/>
          <w:vAlign w:val="bottom"/>
        </w:tcPr>
        <w:p w14:paraId="153B0DD7" w14:textId="77777777" w:rsidR="001867E9" w:rsidRDefault="001867E9">
          <w:pPr>
            <w:tabs>
              <w:tab w:val="left" w:pos="720"/>
              <w:tab w:val="left" w:pos="900"/>
              <w:tab w:val="left" w:pos="1260"/>
              <w:tab w:val="left" w:pos="1980"/>
            </w:tabs>
          </w:pPr>
        </w:p>
      </w:tc>
      <w:tc>
        <w:tcPr>
          <w:tcW w:w="4604" w:type="dxa"/>
          <w:vAlign w:val="bottom"/>
        </w:tcPr>
        <w:p w14:paraId="158EA449" w14:textId="77777777" w:rsidR="001867E9" w:rsidRDefault="001867E9">
          <w:pPr>
            <w:rPr>
              <w:rFonts w:ascii="Futura LT Light" w:hAnsi="Futura LT Light"/>
              <w:color w:val="00247E"/>
              <w:sz w:val="20"/>
              <w:szCs w:val="20"/>
            </w:rPr>
          </w:pPr>
        </w:p>
      </w:tc>
    </w:tr>
    <w:tr w:rsidR="001867E9" w14:paraId="7D902A2D" w14:textId="77777777" w:rsidTr="00952E48">
      <w:tc>
        <w:tcPr>
          <w:tcW w:w="900" w:type="dxa"/>
        </w:tcPr>
        <w:p w14:paraId="0D671F4E" w14:textId="77777777" w:rsidR="001867E9" w:rsidRDefault="001867E9">
          <w:pPr>
            <w:tabs>
              <w:tab w:val="left" w:pos="720"/>
              <w:tab w:val="left" w:pos="900"/>
              <w:tab w:val="left" w:pos="1260"/>
              <w:tab w:val="left" w:pos="1980"/>
            </w:tabs>
          </w:pPr>
        </w:p>
      </w:tc>
      <w:tc>
        <w:tcPr>
          <w:tcW w:w="5421" w:type="dxa"/>
        </w:tcPr>
        <w:p w14:paraId="482899B3" w14:textId="77777777" w:rsidR="001867E9" w:rsidRDefault="001867E9">
          <w:pPr>
            <w:tabs>
              <w:tab w:val="left" w:pos="720"/>
              <w:tab w:val="left" w:pos="900"/>
              <w:tab w:val="left" w:pos="1260"/>
              <w:tab w:val="left" w:pos="1980"/>
            </w:tabs>
            <w:ind w:left="-108"/>
            <w:rPr>
              <w:rFonts w:ascii="Futura LT Book" w:hAnsi="Futura LT Book"/>
              <w:sz w:val="20"/>
            </w:rPr>
          </w:pPr>
        </w:p>
      </w:tc>
      <w:tc>
        <w:tcPr>
          <w:tcW w:w="1653" w:type="dxa"/>
        </w:tcPr>
        <w:p w14:paraId="589D41DD" w14:textId="77777777" w:rsidR="001867E9" w:rsidRDefault="001867E9">
          <w:pPr>
            <w:tabs>
              <w:tab w:val="left" w:pos="720"/>
              <w:tab w:val="left" w:pos="900"/>
              <w:tab w:val="left" w:pos="1260"/>
              <w:tab w:val="left" w:pos="1980"/>
            </w:tabs>
          </w:pPr>
        </w:p>
      </w:tc>
      <w:tc>
        <w:tcPr>
          <w:tcW w:w="4604" w:type="dxa"/>
        </w:tcPr>
        <w:p w14:paraId="23F4B353" w14:textId="77777777" w:rsidR="001867E9" w:rsidRDefault="001867E9">
          <w:pPr>
            <w:tabs>
              <w:tab w:val="left" w:pos="720"/>
              <w:tab w:val="left" w:pos="900"/>
              <w:tab w:val="left" w:pos="1260"/>
              <w:tab w:val="left" w:pos="1980"/>
            </w:tabs>
          </w:pPr>
        </w:p>
      </w:tc>
    </w:tr>
  </w:tbl>
  <w:p w14:paraId="1EAEF4F0" w14:textId="77777777" w:rsidR="001867E9" w:rsidRDefault="001867E9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EB622F"/>
    <w:multiLevelType w:val="multilevel"/>
    <w:tmpl w:val="F5289C92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10137EC"/>
    <w:multiLevelType w:val="multilevel"/>
    <w:tmpl w:val="9B6AAF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282628C"/>
    <w:multiLevelType w:val="multilevel"/>
    <w:tmpl w:val="A12814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4FA1FFA"/>
    <w:multiLevelType w:val="multilevel"/>
    <w:tmpl w:val="D16220E8"/>
    <w:lvl w:ilvl="0">
      <w:start w:val="4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7741F5C"/>
    <w:multiLevelType w:val="multilevel"/>
    <w:tmpl w:val="982083A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51C7BD3"/>
    <w:multiLevelType w:val="hybridMultilevel"/>
    <w:tmpl w:val="2520B12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37203A"/>
    <w:multiLevelType w:val="hybridMultilevel"/>
    <w:tmpl w:val="358ED0D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F286ABE"/>
    <w:multiLevelType w:val="multilevel"/>
    <w:tmpl w:val="95F2DE20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78727AF"/>
    <w:multiLevelType w:val="hybridMultilevel"/>
    <w:tmpl w:val="DEB6718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7B051BA"/>
    <w:multiLevelType w:val="hybridMultilevel"/>
    <w:tmpl w:val="E00A6D6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7B50C56"/>
    <w:multiLevelType w:val="hybridMultilevel"/>
    <w:tmpl w:val="DF54472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84236F8"/>
    <w:multiLevelType w:val="multilevel"/>
    <w:tmpl w:val="23C468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A123B63"/>
    <w:multiLevelType w:val="hybridMultilevel"/>
    <w:tmpl w:val="BF188DC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416B71"/>
    <w:multiLevelType w:val="multilevel"/>
    <w:tmpl w:val="5A26FB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2C7A75AC"/>
    <w:multiLevelType w:val="hybridMultilevel"/>
    <w:tmpl w:val="5FB8986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5676A20"/>
    <w:multiLevelType w:val="hybridMultilevel"/>
    <w:tmpl w:val="2C5C0FF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56A6694"/>
    <w:multiLevelType w:val="hybridMultilevel"/>
    <w:tmpl w:val="7B86363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5DC77EF"/>
    <w:multiLevelType w:val="hybridMultilevel"/>
    <w:tmpl w:val="723A8E36"/>
    <w:lvl w:ilvl="0" w:tplc="DB641552">
      <w:numFmt w:val="bullet"/>
      <w:lvlText w:val="-"/>
      <w:lvlJc w:val="left"/>
      <w:pPr>
        <w:ind w:left="405" w:hanging="360"/>
      </w:pPr>
      <w:rPr>
        <w:rFonts w:ascii="Calibri" w:eastAsia="Calibri" w:hAnsi="Calibri" w:cs="Times New Roman" w:hint="default"/>
        <w:b w:val="0"/>
      </w:rPr>
    </w:lvl>
    <w:lvl w:ilvl="1" w:tplc="0410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18" w15:restartNumberingAfterBreak="0">
    <w:nsid w:val="361A540D"/>
    <w:multiLevelType w:val="hybridMultilevel"/>
    <w:tmpl w:val="0092226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7061663"/>
    <w:multiLevelType w:val="multilevel"/>
    <w:tmpl w:val="F5DCC3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D9F3522"/>
    <w:multiLevelType w:val="hybridMultilevel"/>
    <w:tmpl w:val="3B7ED684"/>
    <w:lvl w:ilvl="0" w:tplc="2CD8A1B6">
      <w:numFmt w:val="bullet"/>
      <w:lvlText w:val="-"/>
      <w:lvlJc w:val="left"/>
      <w:pPr>
        <w:ind w:left="720" w:hanging="360"/>
      </w:pPr>
      <w:rPr>
        <w:rFonts w:ascii="Calibri" w:eastAsia="Calibri" w:hAnsi="Calibri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26C74DE"/>
    <w:multiLevelType w:val="multilevel"/>
    <w:tmpl w:val="596E4F14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2A617F7"/>
    <w:multiLevelType w:val="hybridMultilevel"/>
    <w:tmpl w:val="3FB6A9B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A294674"/>
    <w:multiLevelType w:val="multilevel"/>
    <w:tmpl w:val="103AC3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34C4A8C"/>
    <w:multiLevelType w:val="hybridMultilevel"/>
    <w:tmpl w:val="102E1EB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4A3324E"/>
    <w:multiLevelType w:val="hybridMultilevel"/>
    <w:tmpl w:val="7996F344"/>
    <w:lvl w:ilvl="0" w:tplc="7FB239F2">
      <w:numFmt w:val="bullet"/>
      <w:lvlText w:val="-"/>
      <w:lvlJc w:val="left"/>
      <w:pPr>
        <w:ind w:left="720" w:hanging="360"/>
      </w:pPr>
      <w:rPr>
        <w:rFonts w:ascii="Calibri" w:eastAsia="Calibri" w:hAnsi="Calibri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56B225A"/>
    <w:multiLevelType w:val="hybridMultilevel"/>
    <w:tmpl w:val="00228D5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A3F733E"/>
    <w:multiLevelType w:val="hybridMultilevel"/>
    <w:tmpl w:val="1B84E2D2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87111A0"/>
    <w:multiLevelType w:val="hybridMultilevel"/>
    <w:tmpl w:val="4B18449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8C10948"/>
    <w:multiLevelType w:val="hybridMultilevel"/>
    <w:tmpl w:val="89A64A7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FA433CD"/>
    <w:multiLevelType w:val="hybridMultilevel"/>
    <w:tmpl w:val="C58E4ED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0746BB4"/>
    <w:multiLevelType w:val="hybridMultilevel"/>
    <w:tmpl w:val="380EF78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4315951"/>
    <w:multiLevelType w:val="hybridMultilevel"/>
    <w:tmpl w:val="06E615D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4996476"/>
    <w:multiLevelType w:val="hybridMultilevel"/>
    <w:tmpl w:val="4DBA5E56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77D5995"/>
    <w:multiLevelType w:val="hybridMultilevel"/>
    <w:tmpl w:val="47BA2500"/>
    <w:lvl w:ilvl="0" w:tplc="EF1A7B3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786270C"/>
    <w:multiLevelType w:val="hybridMultilevel"/>
    <w:tmpl w:val="DC54204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A130918"/>
    <w:multiLevelType w:val="hybridMultilevel"/>
    <w:tmpl w:val="169232D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15"/>
  </w:num>
  <w:num w:numId="3">
    <w:abstractNumId w:val="21"/>
  </w:num>
  <w:num w:numId="4">
    <w:abstractNumId w:val="9"/>
  </w:num>
  <w:num w:numId="5">
    <w:abstractNumId w:val="2"/>
  </w:num>
  <w:num w:numId="6">
    <w:abstractNumId w:val="10"/>
  </w:num>
  <w:num w:numId="7">
    <w:abstractNumId w:val="14"/>
  </w:num>
  <w:num w:numId="8">
    <w:abstractNumId w:val="26"/>
  </w:num>
  <w:num w:numId="9">
    <w:abstractNumId w:val="36"/>
  </w:num>
  <w:num w:numId="10">
    <w:abstractNumId w:val="25"/>
  </w:num>
  <w:num w:numId="11">
    <w:abstractNumId w:val="11"/>
  </w:num>
  <w:num w:numId="12">
    <w:abstractNumId w:val="23"/>
  </w:num>
  <w:num w:numId="13">
    <w:abstractNumId w:val="4"/>
  </w:num>
  <w:num w:numId="14">
    <w:abstractNumId w:val="7"/>
  </w:num>
  <w:num w:numId="15">
    <w:abstractNumId w:val="0"/>
  </w:num>
  <w:num w:numId="16">
    <w:abstractNumId w:val="3"/>
  </w:num>
  <w:num w:numId="17">
    <w:abstractNumId w:val="17"/>
  </w:num>
  <w:num w:numId="18">
    <w:abstractNumId w:val="1"/>
  </w:num>
  <w:num w:numId="19">
    <w:abstractNumId w:val="27"/>
  </w:num>
  <w:num w:numId="20">
    <w:abstractNumId w:val="19"/>
  </w:num>
  <w:num w:numId="21">
    <w:abstractNumId w:val="5"/>
  </w:num>
  <w:num w:numId="22">
    <w:abstractNumId w:val="35"/>
  </w:num>
  <w:num w:numId="23">
    <w:abstractNumId w:val="18"/>
  </w:num>
  <w:num w:numId="24">
    <w:abstractNumId w:val="16"/>
  </w:num>
  <w:num w:numId="25">
    <w:abstractNumId w:val="32"/>
  </w:num>
  <w:num w:numId="26">
    <w:abstractNumId w:val="30"/>
  </w:num>
  <w:num w:numId="27">
    <w:abstractNumId w:val="31"/>
  </w:num>
  <w:num w:numId="28">
    <w:abstractNumId w:val="24"/>
  </w:num>
  <w:num w:numId="29">
    <w:abstractNumId w:val="22"/>
  </w:num>
  <w:num w:numId="30">
    <w:abstractNumId w:val="12"/>
  </w:num>
  <w:num w:numId="31">
    <w:abstractNumId w:val="29"/>
  </w:num>
  <w:num w:numId="32">
    <w:abstractNumId w:val="6"/>
  </w:num>
  <w:num w:numId="33">
    <w:abstractNumId w:val="8"/>
  </w:num>
  <w:num w:numId="34">
    <w:abstractNumId w:val="28"/>
  </w:num>
  <w:num w:numId="35">
    <w:abstractNumId w:val="13"/>
  </w:num>
  <w:num w:numId="36">
    <w:abstractNumId w:val="33"/>
  </w:num>
  <w:num w:numId="37">
    <w:abstractNumId w:val="34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283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37418"/>
    <w:rsid w:val="000013D4"/>
    <w:rsid w:val="000018C4"/>
    <w:rsid w:val="00002340"/>
    <w:rsid w:val="00012716"/>
    <w:rsid w:val="000143BB"/>
    <w:rsid w:val="00014CFE"/>
    <w:rsid w:val="00030A72"/>
    <w:rsid w:val="000369D4"/>
    <w:rsid w:val="00037418"/>
    <w:rsid w:val="00040CFB"/>
    <w:rsid w:val="0004674A"/>
    <w:rsid w:val="00047164"/>
    <w:rsid w:val="00052071"/>
    <w:rsid w:val="000539CB"/>
    <w:rsid w:val="00053A2C"/>
    <w:rsid w:val="000614F9"/>
    <w:rsid w:val="000625BE"/>
    <w:rsid w:val="000637F2"/>
    <w:rsid w:val="000742BE"/>
    <w:rsid w:val="00080ADD"/>
    <w:rsid w:val="00087150"/>
    <w:rsid w:val="0009085F"/>
    <w:rsid w:val="000B06C6"/>
    <w:rsid w:val="000B2103"/>
    <w:rsid w:val="000C53BB"/>
    <w:rsid w:val="000D0123"/>
    <w:rsid w:val="000D36C6"/>
    <w:rsid w:val="000D4668"/>
    <w:rsid w:val="000D4ADA"/>
    <w:rsid w:val="000E38C9"/>
    <w:rsid w:val="000E6DB1"/>
    <w:rsid w:val="0010566D"/>
    <w:rsid w:val="001248C3"/>
    <w:rsid w:val="00126D4F"/>
    <w:rsid w:val="001311CA"/>
    <w:rsid w:val="00134010"/>
    <w:rsid w:val="00136808"/>
    <w:rsid w:val="00151B1D"/>
    <w:rsid w:val="00151BDD"/>
    <w:rsid w:val="00160F19"/>
    <w:rsid w:val="001674E2"/>
    <w:rsid w:val="00172666"/>
    <w:rsid w:val="00177173"/>
    <w:rsid w:val="00181F9E"/>
    <w:rsid w:val="001867E9"/>
    <w:rsid w:val="00197786"/>
    <w:rsid w:val="001A0EA6"/>
    <w:rsid w:val="001A61DB"/>
    <w:rsid w:val="001B0373"/>
    <w:rsid w:val="001B1366"/>
    <w:rsid w:val="001C016B"/>
    <w:rsid w:val="001C5C73"/>
    <w:rsid w:val="001D46AD"/>
    <w:rsid w:val="001D783D"/>
    <w:rsid w:val="001D7F3D"/>
    <w:rsid w:val="001E0909"/>
    <w:rsid w:val="001E1A02"/>
    <w:rsid w:val="001E460E"/>
    <w:rsid w:val="001E720B"/>
    <w:rsid w:val="001F202A"/>
    <w:rsid w:val="001F48AB"/>
    <w:rsid w:val="0020292B"/>
    <w:rsid w:val="00206722"/>
    <w:rsid w:val="00210ED4"/>
    <w:rsid w:val="002113BA"/>
    <w:rsid w:val="00214F8E"/>
    <w:rsid w:val="002166C4"/>
    <w:rsid w:val="0022540F"/>
    <w:rsid w:val="00230989"/>
    <w:rsid w:val="00237B46"/>
    <w:rsid w:val="00242295"/>
    <w:rsid w:val="00254095"/>
    <w:rsid w:val="002650B4"/>
    <w:rsid w:val="002655A5"/>
    <w:rsid w:val="00265FD1"/>
    <w:rsid w:val="00267F8E"/>
    <w:rsid w:val="0027190F"/>
    <w:rsid w:val="0027421E"/>
    <w:rsid w:val="002743DA"/>
    <w:rsid w:val="00293463"/>
    <w:rsid w:val="002959ED"/>
    <w:rsid w:val="00297F87"/>
    <w:rsid w:val="002A6DFD"/>
    <w:rsid w:val="002B7EEB"/>
    <w:rsid w:val="002D246E"/>
    <w:rsid w:val="002D2B28"/>
    <w:rsid w:val="002E4047"/>
    <w:rsid w:val="00300CDB"/>
    <w:rsid w:val="00306EA7"/>
    <w:rsid w:val="003114C4"/>
    <w:rsid w:val="00322EE8"/>
    <w:rsid w:val="00326815"/>
    <w:rsid w:val="003347DC"/>
    <w:rsid w:val="0034265F"/>
    <w:rsid w:val="00363BF8"/>
    <w:rsid w:val="00371573"/>
    <w:rsid w:val="00385BAE"/>
    <w:rsid w:val="00393776"/>
    <w:rsid w:val="003944BF"/>
    <w:rsid w:val="00395392"/>
    <w:rsid w:val="003A759E"/>
    <w:rsid w:val="003B6D95"/>
    <w:rsid w:val="003B7ED2"/>
    <w:rsid w:val="003C19FB"/>
    <w:rsid w:val="003E5874"/>
    <w:rsid w:val="003F1228"/>
    <w:rsid w:val="0041047E"/>
    <w:rsid w:val="0041177C"/>
    <w:rsid w:val="0042052A"/>
    <w:rsid w:val="004353E3"/>
    <w:rsid w:val="004435C3"/>
    <w:rsid w:val="00454209"/>
    <w:rsid w:val="00465747"/>
    <w:rsid w:val="00466930"/>
    <w:rsid w:val="00472D2B"/>
    <w:rsid w:val="00474ADE"/>
    <w:rsid w:val="00483E55"/>
    <w:rsid w:val="004A43B9"/>
    <w:rsid w:val="004A5095"/>
    <w:rsid w:val="004B0EF1"/>
    <w:rsid w:val="004B5C7B"/>
    <w:rsid w:val="004B691C"/>
    <w:rsid w:val="004C1CE6"/>
    <w:rsid w:val="004C2CC8"/>
    <w:rsid w:val="004D48E8"/>
    <w:rsid w:val="004D4957"/>
    <w:rsid w:val="004E0C94"/>
    <w:rsid w:val="004E62C8"/>
    <w:rsid w:val="004F2D22"/>
    <w:rsid w:val="00517FCD"/>
    <w:rsid w:val="00520F32"/>
    <w:rsid w:val="0053112D"/>
    <w:rsid w:val="00531CA4"/>
    <w:rsid w:val="00532542"/>
    <w:rsid w:val="00546306"/>
    <w:rsid w:val="005615FE"/>
    <w:rsid w:val="00565BA4"/>
    <w:rsid w:val="00570DF9"/>
    <w:rsid w:val="00571AA5"/>
    <w:rsid w:val="00580D22"/>
    <w:rsid w:val="00585124"/>
    <w:rsid w:val="005952A0"/>
    <w:rsid w:val="005A2FBD"/>
    <w:rsid w:val="005A6420"/>
    <w:rsid w:val="005A68AC"/>
    <w:rsid w:val="005B0270"/>
    <w:rsid w:val="005B68CD"/>
    <w:rsid w:val="005C488C"/>
    <w:rsid w:val="005D2783"/>
    <w:rsid w:val="005E05F4"/>
    <w:rsid w:val="005E29D1"/>
    <w:rsid w:val="005E2A6A"/>
    <w:rsid w:val="005E5E6F"/>
    <w:rsid w:val="005E694F"/>
    <w:rsid w:val="005F136F"/>
    <w:rsid w:val="00600B26"/>
    <w:rsid w:val="00606C5A"/>
    <w:rsid w:val="00617528"/>
    <w:rsid w:val="00633A04"/>
    <w:rsid w:val="00634F54"/>
    <w:rsid w:val="006370DF"/>
    <w:rsid w:val="006411A6"/>
    <w:rsid w:val="006411DF"/>
    <w:rsid w:val="00654840"/>
    <w:rsid w:val="00673C44"/>
    <w:rsid w:val="00684F34"/>
    <w:rsid w:val="00685171"/>
    <w:rsid w:val="00686CD4"/>
    <w:rsid w:val="0069445C"/>
    <w:rsid w:val="00696623"/>
    <w:rsid w:val="006A2CD6"/>
    <w:rsid w:val="006C0F54"/>
    <w:rsid w:val="006C5530"/>
    <w:rsid w:val="006C6827"/>
    <w:rsid w:val="006D187D"/>
    <w:rsid w:val="006E4E22"/>
    <w:rsid w:val="006E64CC"/>
    <w:rsid w:val="006E71D6"/>
    <w:rsid w:val="006F3D2C"/>
    <w:rsid w:val="006F4A89"/>
    <w:rsid w:val="007006D5"/>
    <w:rsid w:val="00706997"/>
    <w:rsid w:val="00710780"/>
    <w:rsid w:val="007120A3"/>
    <w:rsid w:val="007212D6"/>
    <w:rsid w:val="00721719"/>
    <w:rsid w:val="007268E0"/>
    <w:rsid w:val="007278BF"/>
    <w:rsid w:val="00727E86"/>
    <w:rsid w:val="00730857"/>
    <w:rsid w:val="007336E8"/>
    <w:rsid w:val="00744DE8"/>
    <w:rsid w:val="00754C9D"/>
    <w:rsid w:val="0075722D"/>
    <w:rsid w:val="00764518"/>
    <w:rsid w:val="00783E6E"/>
    <w:rsid w:val="007872ED"/>
    <w:rsid w:val="007900D5"/>
    <w:rsid w:val="007911A1"/>
    <w:rsid w:val="00792D99"/>
    <w:rsid w:val="00793849"/>
    <w:rsid w:val="00796CE5"/>
    <w:rsid w:val="007A106A"/>
    <w:rsid w:val="007A4BC4"/>
    <w:rsid w:val="007B0324"/>
    <w:rsid w:val="007B0D7B"/>
    <w:rsid w:val="007B28C2"/>
    <w:rsid w:val="007B4F16"/>
    <w:rsid w:val="007B72D4"/>
    <w:rsid w:val="007B7550"/>
    <w:rsid w:val="007C1279"/>
    <w:rsid w:val="007D0756"/>
    <w:rsid w:val="007D102D"/>
    <w:rsid w:val="007D346E"/>
    <w:rsid w:val="007E02A8"/>
    <w:rsid w:val="007E1CB1"/>
    <w:rsid w:val="007E52F6"/>
    <w:rsid w:val="007E7A85"/>
    <w:rsid w:val="007F16F9"/>
    <w:rsid w:val="007F7D2A"/>
    <w:rsid w:val="00801AE3"/>
    <w:rsid w:val="008021EA"/>
    <w:rsid w:val="0080382C"/>
    <w:rsid w:val="008050CE"/>
    <w:rsid w:val="008122F0"/>
    <w:rsid w:val="00814B6A"/>
    <w:rsid w:val="00827AA4"/>
    <w:rsid w:val="0083206A"/>
    <w:rsid w:val="008324D4"/>
    <w:rsid w:val="00842CAC"/>
    <w:rsid w:val="0089242A"/>
    <w:rsid w:val="00895D5A"/>
    <w:rsid w:val="008B5620"/>
    <w:rsid w:val="008C21F3"/>
    <w:rsid w:val="008C6FB9"/>
    <w:rsid w:val="008E4D83"/>
    <w:rsid w:val="008F7F38"/>
    <w:rsid w:val="0091416E"/>
    <w:rsid w:val="0092313F"/>
    <w:rsid w:val="00924F70"/>
    <w:rsid w:val="009259DA"/>
    <w:rsid w:val="00930421"/>
    <w:rsid w:val="00933A9A"/>
    <w:rsid w:val="00935FD9"/>
    <w:rsid w:val="00936AC3"/>
    <w:rsid w:val="00943AF3"/>
    <w:rsid w:val="00947B49"/>
    <w:rsid w:val="00951362"/>
    <w:rsid w:val="00952E48"/>
    <w:rsid w:val="00962B81"/>
    <w:rsid w:val="00964D43"/>
    <w:rsid w:val="00972881"/>
    <w:rsid w:val="009A181B"/>
    <w:rsid w:val="009A600B"/>
    <w:rsid w:val="009B370B"/>
    <w:rsid w:val="009C5511"/>
    <w:rsid w:val="009C66FF"/>
    <w:rsid w:val="009D0AE2"/>
    <w:rsid w:val="009D26C3"/>
    <w:rsid w:val="009D42AF"/>
    <w:rsid w:val="009E0FC5"/>
    <w:rsid w:val="009E313A"/>
    <w:rsid w:val="009E718E"/>
    <w:rsid w:val="009F00C9"/>
    <w:rsid w:val="009F30D5"/>
    <w:rsid w:val="00A00CC0"/>
    <w:rsid w:val="00A02167"/>
    <w:rsid w:val="00A029FA"/>
    <w:rsid w:val="00A100C9"/>
    <w:rsid w:val="00A108C5"/>
    <w:rsid w:val="00A2160D"/>
    <w:rsid w:val="00A238E8"/>
    <w:rsid w:val="00A27F82"/>
    <w:rsid w:val="00A35E9C"/>
    <w:rsid w:val="00A554C8"/>
    <w:rsid w:val="00A5706E"/>
    <w:rsid w:val="00A65A7B"/>
    <w:rsid w:val="00A72245"/>
    <w:rsid w:val="00A7325D"/>
    <w:rsid w:val="00A874BE"/>
    <w:rsid w:val="00A92403"/>
    <w:rsid w:val="00AA755B"/>
    <w:rsid w:val="00AA7A03"/>
    <w:rsid w:val="00AB5961"/>
    <w:rsid w:val="00AC09F6"/>
    <w:rsid w:val="00AC0DA4"/>
    <w:rsid w:val="00AC363E"/>
    <w:rsid w:val="00AD6736"/>
    <w:rsid w:val="00AE4116"/>
    <w:rsid w:val="00AE484B"/>
    <w:rsid w:val="00AE7C4C"/>
    <w:rsid w:val="00AF1207"/>
    <w:rsid w:val="00AF303A"/>
    <w:rsid w:val="00AF4404"/>
    <w:rsid w:val="00AF4D79"/>
    <w:rsid w:val="00AF6300"/>
    <w:rsid w:val="00B1385A"/>
    <w:rsid w:val="00B23422"/>
    <w:rsid w:val="00B27B4F"/>
    <w:rsid w:val="00B27DA0"/>
    <w:rsid w:val="00B34B96"/>
    <w:rsid w:val="00B44EC6"/>
    <w:rsid w:val="00B55997"/>
    <w:rsid w:val="00B56F41"/>
    <w:rsid w:val="00B71AF1"/>
    <w:rsid w:val="00B74B3D"/>
    <w:rsid w:val="00B90950"/>
    <w:rsid w:val="00B954F6"/>
    <w:rsid w:val="00B9787B"/>
    <w:rsid w:val="00B97A78"/>
    <w:rsid w:val="00BA6BD6"/>
    <w:rsid w:val="00BA7B76"/>
    <w:rsid w:val="00BB7D4D"/>
    <w:rsid w:val="00BC0691"/>
    <w:rsid w:val="00BC4801"/>
    <w:rsid w:val="00BD3C2C"/>
    <w:rsid w:val="00BD60DB"/>
    <w:rsid w:val="00C10A7A"/>
    <w:rsid w:val="00C13B4C"/>
    <w:rsid w:val="00C27714"/>
    <w:rsid w:val="00C433AC"/>
    <w:rsid w:val="00C46AA6"/>
    <w:rsid w:val="00C50C7E"/>
    <w:rsid w:val="00C6046C"/>
    <w:rsid w:val="00C6483F"/>
    <w:rsid w:val="00C7079A"/>
    <w:rsid w:val="00C82C7A"/>
    <w:rsid w:val="00C92C40"/>
    <w:rsid w:val="00C93D89"/>
    <w:rsid w:val="00C96C69"/>
    <w:rsid w:val="00CA1FD0"/>
    <w:rsid w:val="00CA32BA"/>
    <w:rsid w:val="00CA5FB4"/>
    <w:rsid w:val="00CA677D"/>
    <w:rsid w:val="00CB0B8E"/>
    <w:rsid w:val="00CB1898"/>
    <w:rsid w:val="00CB302D"/>
    <w:rsid w:val="00CC42BA"/>
    <w:rsid w:val="00CD2F0A"/>
    <w:rsid w:val="00CD4A8E"/>
    <w:rsid w:val="00CE5F79"/>
    <w:rsid w:val="00D05B8F"/>
    <w:rsid w:val="00D06063"/>
    <w:rsid w:val="00D102CD"/>
    <w:rsid w:val="00D12686"/>
    <w:rsid w:val="00D12E1E"/>
    <w:rsid w:val="00D13CAB"/>
    <w:rsid w:val="00D2250C"/>
    <w:rsid w:val="00D24A1C"/>
    <w:rsid w:val="00D25CF8"/>
    <w:rsid w:val="00D30E39"/>
    <w:rsid w:val="00D327D9"/>
    <w:rsid w:val="00D32FC7"/>
    <w:rsid w:val="00D35077"/>
    <w:rsid w:val="00D403FB"/>
    <w:rsid w:val="00D46D8F"/>
    <w:rsid w:val="00D50F2A"/>
    <w:rsid w:val="00D54D0D"/>
    <w:rsid w:val="00D551CF"/>
    <w:rsid w:val="00D66BBB"/>
    <w:rsid w:val="00D70745"/>
    <w:rsid w:val="00D71FF5"/>
    <w:rsid w:val="00D74092"/>
    <w:rsid w:val="00D77E54"/>
    <w:rsid w:val="00DA4273"/>
    <w:rsid w:val="00DA5995"/>
    <w:rsid w:val="00DB3985"/>
    <w:rsid w:val="00DB4953"/>
    <w:rsid w:val="00DC0ED4"/>
    <w:rsid w:val="00DC7F97"/>
    <w:rsid w:val="00DD019F"/>
    <w:rsid w:val="00DE15E7"/>
    <w:rsid w:val="00DF5163"/>
    <w:rsid w:val="00E003E4"/>
    <w:rsid w:val="00E20570"/>
    <w:rsid w:val="00E209CB"/>
    <w:rsid w:val="00E25D34"/>
    <w:rsid w:val="00E273B4"/>
    <w:rsid w:val="00E31E8B"/>
    <w:rsid w:val="00E36D39"/>
    <w:rsid w:val="00E44B8E"/>
    <w:rsid w:val="00E47D5B"/>
    <w:rsid w:val="00E5260E"/>
    <w:rsid w:val="00E56C4C"/>
    <w:rsid w:val="00E71CEB"/>
    <w:rsid w:val="00E74979"/>
    <w:rsid w:val="00E906B5"/>
    <w:rsid w:val="00E909DF"/>
    <w:rsid w:val="00E96211"/>
    <w:rsid w:val="00EA4465"/>
    <w:rsid w:val="00EB1B2C"/>
    <w:rsid w:val="00EB5F34"/>
    <w:rsid w:val="00EB6196"/>
    <w:rsid w:val="00EC0D5D"/>
    <w:rsid w:val="00ED1726"/>
    <w:rsid w:val="00ED2018"/>
    <w:rsid w:val="00ED2B9F"/>
    <w:rsid w:val="00ED6E2C"/>
    <w:rsid w:val="00ED7B1E"/>
    <w:rsid w:val="00EE18FB"/>
    <w:rsid w:val="00EF69AE"/>
    <w:rsid w:val="00F169DE"/>
    <w:rsid w:val="00F23D65"/>
    <w:rsid w:val="00F31A89"/>
    <w:rsid w:val="00F32A75"/>
    <w:rsid w:val="00F4051C"/>
    <w:rsid w:val="00F4663F"/>
    <w:rsid w:val="00F51DA0"/>
    <w:rsid w:val="00F52882"/>
    <w:rsid w:val="00F53831"/>
    <w:rsid w:val="00F53938"/>
    <w:rsid w:val="00F53F66"/>
    <w:rsid w:val="00F60480"/>
    <w:rsid w:val="00F623AC"/>
    <w:rsid w:val="00F804E0"/>
    <w:rsid w:val="00F80976"/>
    <w:rsid w:val="00F81262"/>
    <w:rsid w:val="00F81771"/>
    <w:rsid w:val="00F9163B"/>
    <w:rsid w:val="00F94CCF"/>
    <w:rsid w:val="00FA52B2"/>
    <w:rsid w:val="00FC5166"/>
    <w:rsid w:val="00FC53D5"/>
    <w:rsid w:val="00FC66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0D7E19B"/>
  <w15:docId w15:val="{AC4CA1ED-655B-4B83-9704-4CC53F2C2C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9D26C3"/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semiHidden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character" w:styleId="Collegamentoipertestuale">
    <w:name w:val="Hyperlink"/>
    <w:uiPriority w:val="99"/>
    <w:rPr>
      <w:color w:val="0000FF"/>
      <w:u w:val="single"/>
    </w:rPr>
  </w:style>
  <w:style w:type="paragraph" w:styleId="Paragrafoelenco">
    <w:name w:val="List Paragraph"/>
    <w:basedOn w:val="Normale"/>
    <w:uiPriority w:val="34"/>
    <w:qFormat/>
    <w:rsid w:val="00952E48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8F7F38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character" w:styleId="Menzionenonrisolta">
    <w:name w:val="Unresolved Mention"/>
    <w:uiPriority w:val="99"/>
    <w:semiHidden/>
    <w:unhideWhenUsed/>
    <w:rsid w:val="003347DC"/>
    <w:rPr>
      <w:color w:val="605E5C"/>
      <w:shd w:val="clear" w:color="auto" w:fill="E1DFDD"/>
    </w:rPr>
  </w:style>
  <w:style w:type="character" w:styleId="Enfasigrassetto">
    <w:name w:val="Strong"/>
    <w:uiPriority w:val="22"/>
    <w:qFormat/>
    <w:rsid w:val="0009085F"/>
    <w:rPr>
      <w:b/>
      <w:bCs/>
    </w:rPr>
  </w:style>
  <w:style w:type="paragraph" w:styleId="NormaleWeb">
    <w:name w:val="Normal (Web)"/>
    <w:basedOn w:val="Normale"/>
    <w:uiPriority w:val="99"/>
    <w:semiHidden/>
    <w:unhideWhenUsed/>
    <w:rsid w:val="00C93D89"/>
  </w:style>
  <w:style w:type="character" w:styleId="Enfasicorsivo">
    <w:name w:val="Emphasis"/>
    <w:uiPriority w:val="20"/>
    <w:qFormat/>
    <w:rsid w:val="00633A0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26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1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9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0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78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8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08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4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09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23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0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59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5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1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2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6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\\SW12ADC02\archivi\010_CONFINDUSTRIA%20UMBRIA\Notiziario\2020\EDILIZIA\info@anceumbria.it%20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giustizia-amministrativa.it/portale/pages/istituzionale/visualizza/?nodeRef=&amp;schema=cds&amp;nrg=202001270&amp;nomeFile=202002856_23.html&amp;subDir=Provvedimenti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file:///\\SW12ADC02\archivi\010_CONFINDUSTRIA%20UMBRIA\Notiziario\2020\EDILIZIA\edilizia@confindustria.terni.i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R:\500_Software\Procedure_associazione\MODELLI\MODELLI\Confindustria%20Umbria\NUOVA%20CARTA%20INTESTATA%202018_REV.%20SETTEMBRE%202018\Carta%20intestata%20Confindustria%20Umbria_Il%20Direttore%20Generale.dotx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Carta intestata Confindustria Umbria_Il Direttore Generale</Template>
  <TotalTime>153</TotalTime>
  <Pages>1</Pages>
  <Words>876</Words>
  <Characters>4994</Characters>
  <Application>Microsoft Office Word</Application>
  <DocSecurity>0</DocSecurity>
  <Lines>41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Associazione Industriali</vt:lpstr>
    </vt:vector>
  </TitlesOfParts>
  <Company>Assindustria</Company>
  <LinksUpToDate>false</LinksUpToDate>
  <CharactersWithSpaces>5859</CharactersWithSpaces>
  <SharedDoc>false</SharedDoc>
  <HLinks>
    <vt:vector size="12" baseType="variant">
      <vt:variant>
        <vt:i4>7667784</vt:i4>
      </vt:variant>
      <vt:variant>
        <vt:i4>3</vt:i4>
      </vt:variant>
      <vt:variant>
        <vt:i4>0</vt:i4>
      </vt:variant>
      <vt:variant>
        <vt:i4>5</vt:i4>
      </vt:variant>
      <vt:variant>
        <vt:lpwstr>edilizia@confindustria.terni.it</vt:lpwstr>
      </vt:variant>
      <vt:variant>
        <vt:lpwstr/>
      </vt:variant>
      <vt:variant>
        <vt:i4>2555987</vt:i4>
      </vt:variant>
      <vt:variant>
        <vt:i4>0</vt:i4>
      </vt:variant>
      <vt:variant>
        <vt:i4>0</vt:i4>
      </vt:variant>
      <vt:variant>
        <vt:i4>5</vt:i4>
      </vt:variant>
      <vt:variant>
        <vt:lpwstr>info@anceumbria.it 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Associazione Industriali</dc:title>
  <dc:subject/>
  <dc:creator>Cristina Malfagia</dc:creator>
  <cp:keywords/>
  <cp:lastModifiedBy>hp</cp:lastModifiedBy>
  <cp:revision>9</cp:revision>
  <cp:lastPrinted>2019-02-27T17:41:00Z</cp:lastPrinted>
  <dcterms:created xsi:type="dcterms:W3CDTF">2020-05-29T08:44:00Z</dcterms:created>
  <dcterms:modified xsi:type="dcterms:W3CDTF">2020-06-05T12:53:00Z</dcterms:modified>
</cp:coreProperties>
</file>