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0DC9" w14:textId="3ACC772F" w:rsidR="00C43191" w:rsidRPr="008C2802" w:rsidRDefault="00BE55E3" w:rsidP="00A04AA1">
      <w:pPr>
        <w:tabs>
          <w:tab w:val="left" w:pos="720"/>
          <w:tab w:val="left" w:pos="900"/>
          <w:tab w:val="left" w:pos="1260"/>
        </w:tabs>
        <w:jc w:val="both"/>
        <w:rPr>
          <w:rFonts w:asciiTheme="minorHAnsi" w:hAnsiTheme="minorHAnsi" w:cstheme="minorHAnsi"/>
          <w:b/>
          <w:bCs/>
          <w:sz w:val="22"/>
          <w:szCs w:val="22"/>
        </w:rPr>
      </w:pPr>
      <w:r>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4427DC" w:rsidRPr="004427DC">
        <w:rPr>
          <w:rFonts w:asciiTheme="minorHAnsi" w:hAnsiTheme="minorHAnsi" w:cstheme="minorHAnsi"/>
          <w:b/>
          <w:bCs/>
          <w:sz w:val="22"/>
          <w:szCs w:val="22"/>
        </w:rPr>
        <w:t>DL Rilancio. Chiarimenti dell’INL sulle disposizioni introdotte</w:t>
      </w:r>
    </w:p>
    <w:p w14:paraId="12C4A921" w14:textId="77777777" w:rsidR="00022B42" w:rsidRDefault="00022B42" w:rsidP="00022B42">
      <w:pPr>
        <w:shd w:val="clear" w:color="auto" w:fill="FFFFFF"/>
        <w:jc w:val="both"/>
        <w:textAlignment w:val="baseline"/>
        <w:rPr>
          <w:rFonts w:asciiTheme="minorHAnsi" w:hAnsiTheme="minorHAnsi" w:cstheme="minorHAnsi"/>
          <w:color w:val="000000"/>
          <w:sz w:val="22"/>
          <w:szCs w:val="22"/>
        </w:rPr>
      </w:pPr>
    </w:p>
    <w:p w14:paraId="61DE1CDD" w14:textId="2575EB8B" w:rsidR="00CA7B6F" w:rsidRDefault="004427DC" w:rsidP="00C432AC">
      <w:pPr>
        <w:autoSpaceDE w:val="0"/>
        <w:autoSpaceDN w:val="0"/>
        <w:adjustRightInd w:val="0"/>
        <w:jc w:val="both"/>
        <w:rPr>
          <w:rFonts w:asciiTheme="minorHAnsi" w:hAnsiTheme="minorHAnsi" w:cstheme="minorHAnsi"/>
          <w:sz w:val="22"/>
          <w:szCs w:val="22"/>
        </w:rPr>
      </w:pPr>
      <w:r w:rsidRPr="004427DC">
        <w:rPr>
          <w:rFonts w:asciiTheme="minorHAnsi" w:hAnsiTheme="minorHAnsi" w:cstheme="minorHAnsi"/>
          <w:sz w:val="22"/>
          <w:szCs w:val="22"/>
        </w:rPr>
        <w:t>Circolare dell’Istituto n. 160</w:t>
      </w:r>
    </w:p>
    <w:p w14:paraId="4FB064B2" w14:textId="77777777" w:rsidR="00EB5B67" w:rsidRDefault="00EB5B67" w:rsidP="00C432AC">
      <w:pPr>
        <w:autoSpaceDE w:val="0"/>
        <w:autoSpaceDN w:val="0"/>
        <w:adjustRightInd w:val="0"/>
        <w:jc w:val="both"/>
        <w:rPr>
          <w:rFonts w:asciiTheme="minorHAnsi" w:hAnsiTheme="minorHAnsi" w:cstheme="minorHAnsi"/>
          <w:sz w:val="22"/>
          <w:szCs w:val="22"/>
        </w:rPr>
      </w:pPr>
    </w:p>
    <w:p w14:paraId="1F415E8B"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 xml:space="preserve">L’ Ispettorato Nazionale del Lavoro, con la circolare n. 160 del 3 giugno scorso, </w:t>
      </w:r>
      <w:r w:rsidRPr="004427DC">
        <w:rPr>
          <w:rFonts w:asciiTheme="minorHAnsi" w:hAnsiTheme="minorHAnsi" w:cs="Arial"/>
          <w:b/>
          <w:bCs/>
          <w:sz w:val="22"/>
          <w:szCs w:val="22"/>
        </w:rPr>
        <w:t>allegata</w:t>
      </w:r>
      <w:r w:rsidRPr="004427DC">
        <w:rPr>
          <w:rFonts w:asciiTheme="minorHAnsi" w:hAnsiTheme="minorHAnsi" w:cs="Arial"/>
          <w:sz w:val="22"/>
          <w:szCs w:val="22"/>
        </w:rPr>
        <w:t>, ha fornito indicazioni in merito alle modifiche apportate dal D.L. n. 34/2020, c.d. Decreto Rilancio, al D.L. n. 18/2020 c.d. Decreto “Cura Italia”, convertito dalla L. n. 27/2020.</w:t>
      </w:r>
    </w:p>
    <w:p w14:paraId="25450AD0" w14:textId="77777777" w:rsidR="003F0175" w:rsidRDefault="003F0175" w:rsidP="004427DC">
      <w:pPr>
        <w:autoSpaceDE w:val="0"/>
        <w:autoSpaceDN w:val="0"/>
        <w:rPr>
          <w:rFonts w:asciiTheme="minorHAnsi" w:hAnsiTheme="minorHAnsi" w:cs="Arial"/>
          <w:sz w:val="22"/>
          <w:szCs w:val="22"/>
        </w:rPr>
      </w:pPr>
    </w:p>
    <w:p w14:paraId="29D4C341" w14:textId="1E5E5DE6"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Si riportano di seguito i chiarimenti forniti dall’Istituto sulle misure di interesse:</w:t>
      </w:r>
    </w:p>
    <w:p w14:paraId="60FB28F0" w14:textId="77777777" w:rsidR="003F0175" w:rsidRDefault="003F0175" w:rsidP="004427DC">
      <w:pPr>
        <w:autoSpaceDE w:val="0"/>
        <w:autoSpaceDN w:val="0"/>
        <w:rPr>
          <w:rFonts w:asciiTheme="minorHAnsi" w:hAnsiTheme="minorHAnsi" w:cs="Arial"/>
          <w:b/>
          <w:bCs/>
          <w:sz w:val="22"/>
          <w:szCs w:val="22"/>
        </w:rPr>
      </w:pPr>
    </w:p>
    <w:p w14:paraId="62536D67" w14:textId="2DD50A5C" w:rsidR="004427DC" w:rsidRPr="004427DC" w:rsidRDefault="004427DC" w:rsidP="004427DC">
      <w:pPr>
        <w:autoSpaceDE w:val="0"/>
        <w:autoSpaceDN w:val="0"/>
        <w:rPr>
          <w:rFonts w:asciiTheme="minorHAnsi" w:hAnsiTheme="minorHAnsi" w:cs="Arial"/>
          <w:b/>
          <w:bCs/>
          <w:sz w:val="22"/>
          <w:szCs w:val="22"/>
        </w:rPr>
      </w:pPr>
      <w:r w:rsidRPr="004427DC">
        <w:rPr>
          <w:rFonts w:asciiTheme="minorHAnsi" w:hAnsiTheme="minorHAnsi" w:cs="Arial"/>
          <w:b/>
          <w:bCs/>
          <w:sz w:val="22"/>
          <w:szCs w:val="22"/>
        </w:rPr>
        <w:t>Modifiche all’articolo 40: misure condizionalità</w:t>
      </w:r>
    </w:p>
    <w:p w14:paraId="3598EBA0"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 xml:space="preserve">In merito alla sospensione delle misure di condizionalità imposte ai percettori del reddito di cittadinanza, di Naspi e </w:t>
      </w:r>
      <w:proofErr w:type="spellStart"/>
      <w:r w:rsidRPr="004427DC">
        <w:rPr>
          <w:rFonts w:asciiTheme="minorHAnsi" w:hAnsiTheme="minorHAnsi" w:cs="Arial"/>
          <w:sz w:val="22"/>
          <w:szCs w:val="22"/>
        </w:rPr>
        <w:t>DisCOLL</w:t>
      </w:r>
      <w:proofErr w:type="spellEnd"/>
      <w:r w:rsidRPr="004427DC">
        <w:rPr>
          <w:rFonts w:asciiTheme="minorHAnsi" w:hAnsiTheme="minorHAnsi" w:cs="Arial"/>
          <w:sz w:val="22"/>
          <w:szCs w:val="22"/>
        </w:rPr>
        <w:t xml:space="preserve"> ed ai beneficiari di misure di integrazione al reddito, la L. n. 27/2020, in sede di conversione del D.L. n. 18/2020, ha introdotto il comma 1-bis, in base al quale tale sospensione </w:t>
      </w:r>
      <w:r w:rsidRPr="004427DC">
        <w:rPr>
          <w:rFonts w:asciiTheme="minorHAnsi" w:hAnsiTheme="minorHAnsi" w:cs="Arial"/>
          <w:i/>
          <w:iCs/>
          <w:sz w:val="22"/>
          <w:szCs w:val="22"/>
        </w:rPr>
        <w:t xml:space="preserve">“non si applica alle offerte di lavoro congrue nell’ambito del comune di appartenenza”. </w:t>
      </w:r>
      <w:r w:rsidRPr="004427DC">
        <w:rPr>
          <w:rFonts w:asciiTheme="minorHAnsi" w:hAnsiTheme="minorHAnsi" w:cs="Arial"/>
          <w:sz w:val="22"/>
          <w:szCs w:val="22"/>
        </w:rPr>
        <w:t>Inoltre, il termine di sospensione delle misure di condizionalità è esteso, ai sensi dell’art. 76 del D.L. n. 34/2020, a quattro mesi a decorrere sempre dal 17 marzo scorso.</w:t>
      </w:r>
    </w:p>
    <w:p w14:paraId="2EB7CDEB" w14:textId="77777777" w:rsidR="003F0175" w:rsidRDefault="003F0175" w:rsidP="004427DC">
      <w:pPr>
        <w:autoSpaceDE w:val="0"/>
        <w:autoSpaceDN w:val="0"/>
        <w:rPr>
          <w:rFonts w:asciiTheme="minorHAnsi" w:hAnsiTheme="minorHAnsi" w:cs="Arial"/>
          <w:b/>
          <w:bCs/>
          <w:sz w:val="22"/>
          <w:szCs w:val="22"/>
        </w:rPr>
      </w:pPr>
    </w:p>
    <w:p w14:paraId="46941F7C" w14:textId="64BC8143" w:rsidR="004427DC" w:rsidRPr="004427DC" w:rsidRDefault="004427DC" w:rsidP="004427DC">
      <w:pPr>
        <w:autoSpaceDE w:val="0"/>
        <w:autoSpaceDN w:val="0"/>
        <w:rPr>
          <w:rFonts w:asciiTheme="minorHAnsi" w:hAnsiTheme="minorHAnsi" w:cs="Arial"/>
          <w:b/>
          <w:bCs/>
          <w:sz w:val="22"/>
          <w:szCs w:val="22"/>
        </w:rPr>
      </w:pPr>
      <w:r w:rsidRPr="004427DC">
        <w:rPr>
          <w:rFonts w:asciiTheme="minorHAnsi" w:hAnsiTheme="minorHAnsi" w:cs="Arial"/>
          <w:b/>
          <w:bCs/>
          <w:sz w:val="22"/>
          <w:szCs w:val="22"/>
        </w:rPr>
        <w:t xml:space="preserve">Modifiche all’articolo 46: licenziamenti collettivi e individuali per </w:t>
      </w:r>
      <w:proofErr w:type="spellStart"/>
      <w:r w:rsidRPr="004427DC">
        <w:rPr>
          <w:rFonts w:asciiTheme="minorHAnsi" w:hAnsiTheme="minorHAnsi" w:cs="Arial"/>
          <w:b/>
          <w:bCs/>
          <w:sz w:val="22"/>
          <w:szCs w:val="22"/>
        </w:rPr>
        <w:t>g.m.o</w:t>
      </w:r>
      <w:proofErr w:type="spellEnd"/>
      <w:r w:rsidRPr="004427DC">
        <w:rPr>
          <w:rFonts w:asciiTheme="minorHAnsi" w:hAnsiTheme="minorHAnsi" w:cs="Arial"/>
          <w:b/>
          <w:bCs/>
          <w:sz w:val="22"/>
          <w:szCs w:val="22"/>
        </w:rPr>
        <w:t>.</w:t>
      </w:r>
    </w:p>
    <w:p w14:paraId="3B88A107"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 xml:space="preserve">In sede di conversione del D.L. n. 18/2020, è stato specificato che sono salve, rispetto al divieto di licenziamento, le procedure di recesso nelle </w:t>
      </w:r>
      <w:r w:rsidRPr="004427DC">
        <w:rPr>
          <w:rFonts w:asciiTheme="minorHAnsi" w:hAnsiTheme="minorHAnsi" w:cs="Arial"/>
          <w:i/>
          <w:iCs/>
          <w:sz w:val="22"/>
          <w:szCs w:val="22"/>
        </w:rPr>
        <w:t>“ipotesi in cui il personale interessato dal recesso, già impiegato nell'appalto, sia riassunto</w:t>
      </w:r>
      <w:r w:rsidRPr="004427DC">
        <w:rPr>
          <w:rFonts w:asciiTheme="minorHAnsi" w:hAnsiTheme="minorHAnsi" w:cs="Arial"/>
          <w:sz w:val="22"/>
          <w:szCs w:val="22"/>
        </w:rPr>
        <w:t xml:space="preserve"> </w:t>
      </w:r>
      <w:r w:rsidRPr="004427DC">
        <w:rPr>
          <w:rFonts w:asciiTheme="minorHAnsi" w:hAnsiTheme="minorHAnsi" w:cs="Arial"/>
          <w:i/>
          <w:iCs/>
          <w:sz w:val="22"/>
          <w:szCs w:val="22"/>
        </w:rPr>
        <w:t>a seguito di subentro di nuovo appaltatore in forza di legge, di contratto collettivo nazionale di lavoro o di clausola del contratto d'appalto”</w:t>
      </w:r>
      <w:r w:rsidRPr="004427DC">
        <w:rPr>
          <w:rFonts w:asciiTheme="minorHAnsi" w:hAnsiTheme="minorHAnsi" w:cs="Arial"/>
          <w:sz w:val="22"/>
          <w:szCs w:val="22"/>
        </w:rPr>
        <w:t>. Pertanto, tale divieto non opera nelle ipotesi e nella misura in cui il nuovo appaltatore “assorba” il</w:t>
      </w:r>
      <w:r w:rsidRPr="004427DC">
        <w:rPr>
          <w:rFonts w:asciiTheme="minorHAnsi" w:hAnsiTheme="minorHAnsi" w:cs="Arial"/>
          <w:i/>
          <w:iCs/>
          <w:sz w:val="22"/>
          <w:szCs w:val="22"/>
        </w:rPr>
        <w:t xml:space="preserve"> </w:t>
      </w:r>
      <w:r w:rsidRPr="004427DC">
        <w:rPr>
          <w:rFonts w:asciiTheme="minorHAnsi" w:hAnsiTheme="minorHAnsi" w:cs="Arial"/>
          <w:sz w:val="22"/>
          <w:szCs w:val="22"/>
        </w:rPr>
        <w:t>personale impiegato nell’appalto. Il divieto resta, invece, in capo all’appaltatore uscente in relazione al personale non</w:t>
      </w:r>
      <w:r w:rsidRPr="004427DC">
        <w:rPr>
          <w:rFonts w:asciiTheme="minorHAnsi" w:hAnsiTheme="minorHAnsi" w:cs="Arial"/>
          <w:i/>
          <w:iCs/>
          <w:sz w:val="22"/>
          <w:szCs w:val="22"/>
        </w:rPr>
        <w:t xml:space="preserve"> </w:t>
      </w:r>
      <w:r w:rsidRPr="004427DC">
        <w:rPr>
          <w:rFonts w:asciiTheme="minorHAnsi" w:hAnsiTheme="minorHAnsi" w:cs="Arial"/>
          <w:sz w:val="22"/>
          <w:szCs w:val="22"/>
        </w:rPr>
        <w:t>“assorbito”, per il quale sarà, quindi, possibile richiedere il trattamento di integrazione salariale laddove ne ricorrano i</w:t>
      </w:r>
      <w:r w:rsidRPr="004427DC">
        <w:rPr>
          <w:rFonts w:asciiTheme="minorHAnsi" w:hAnsiTheme="minorHAnsi" w:cs="Arial"/>
          <w:i/>
          <w:iCs/>
          <w:sz w:val="22"/>
          <w:szCs w:val="22"/>
        </w:rPr>
        <w:t xml:space="preserve"> </w:t>
      </w:r>
      <w:r w:rsidRPr="004427DC">
        <w:rPr>
          <w:rFonts w:asciiTheme="minorHAnsi" w:hAnsiTheme="minorHAnsi" w:cs="Arial"/>
          <w:sz w:val="22"/>
          <w:szCs w:val="22"/>
        </w:rPr>
        <w:t>presupposti.</w:t>
      </w:r>
    </w:p>
    <w:p w14:paraId="0396603D"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 xml:space="preserve">L’art. 80 del D.L. n. 34/2020 ha inoltre previsto, in merito alle procedure di licenziamento, che non potranno essere avviate le procedure di licenziamento collettivo a decorrere dal 17 marzo 2020 (data di entrata in vigore del D.L. n. 18/2020) e per i cinque mesi successivi e che quelle pendenti, avviate dopo il 23 febbraio, sono sospese per il medesimo periodo. Il nuovo termine di cinque mesi a partire dal 17 marzo trova altresì applicazione al divieto di licenziamento per giustificato motivo oggettivo di cui all’art. 7 della L. n. 604/1966. </w:t>
      </w:r>
      <w:proofErr w:type="gramStart"/>
      <w:r w:rsidRPr="004427DC">
        <w:rPr>
          <w:rFonts w:asciiTheme="minorHAnsi" w:hAnsiTheme="minorHAnsi" w:cs="Arial"/>
          <w:sz w:val="22"/>
          <w:szCs w:val="22"/>
        </w:rPr>
        <w:t>E’</w:t>
      </w:r>
      <w:proofErr w:type="gramEnd"/>
      <w:r w:rsidRPr="004427DC">
        <w:rPr>
          <w:rFonts w:asciiTheme="minorHAnsi" w:hAnsiTheme="minorHAnsi" w:cs="Arial"/>
          <w:sz w:val="22"/>
          <w:szCs w:val="22"/>
        </w:rPr>
        <w:t xml:space="preserve"> stata, inoltre, introdotta la previsione relativa all’estensione della sospensione anche alle procedure di licenziamento per giustificato motivo oggettivo in corso, cioè quelle non ancora definite alla data di entrata in vigore del decreto legge.</w:t>
      </w:r>
    </w:p>
    <w:p w14:paraId="3AF6BDB5"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L’Ispettorato ha, inoltre, chiarito, rispetto a quanto già comunicato con le note precedenti, che, per effetto delle modifiche introdotte dal decreto, fino al termine di cinque mesi (17 agosto p.v.), non potranno essere avviate le procedure di cui all’art. 7 della L. n. 604/1966, né potranno essere trattate quelle pendenti.</w:t>
      </w:r>
    </w:p>
    <w:p w14:paraId="26D88F6A"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E’ stato, infine, comunicato che il comma 1-bis ha previsto, nell’ipotesi in cui il datore di lavoro abbia esercitato il recesso nel periodo compreso fra il 23 febbraio e il 17 marzo, che lo stesso possa revocarlo purché “</w:t>
      </w:r>
      <w:r w:rsidRPr="004427DC">
        <w:rPr>
          <w:rFonts w:asciiTheme="minorHAnsi" w:hAnsiTheme="minorHAnsi" w:cs="Arial"/>
          <w:i/>
          <w:iCs/>
          <w:sz w:val="22"/>
          <w:szCs w:val="22"/>
        </w:rPr>
        <w:t>contestualmente</w:t>
      </w:r>
      <w:r w:rsidRPr="004427DC">
        <w:rPr>
          <w:rFonts w:asciiTheme="minorHAnsi" w:hAnsiTheme="minorHAnsi" w:cs="Arial"/>
          <w:sz w:val="22"/>
          <w:szCs w:val="22"/>
        </w:rPr>
        <w:t xml:space="preserve"> </w:t>
      </w:r>
      <w:r w:rsidRPr="004427DC">
        <w:rPr>
          <w:rFonts w:asciiTheme="minorHAnsi" w:hAnsiTheme="minorHAnsi" w:cs="Arial"/>
          <w:i/>
          <w:iCs/>
          <w:sz w:val="22"/>
          <w:szCs w:val="22"/>
        </w:rPr>
        <w:t xml:space="preserve">faccia richiesta del trattamento di cassa integrazione salariale in deroga, di cui all’articolo 22, dalla data in cui abbia avuto efficacia il licenziamento” </w:t>
      </w:r>
      <w:r w:rsidRPr="004427DC">
        <w:rPr>
          <w:rFonts w:asciiTheme="minorHAnsi" w:hAnsiTheme="minorHAnsi" w:cs="Arial"/>
          <w:sz w:val="22"/>
          <w:szCs w:val="22"/>
        </w:rPr>
        <w:t xml:space="preserve">ed </w:t>
      </w:r>
      <w:r w:rsidRPr="004427DC">
        <w:rPr>
          <w:rFonts w:asciiTheme="minorHAnsi" w:hAnsiTheme="minorHAnsi" w:cs="Arial"/>
          <w:i/>
          <w:iCs/>
          <w:sz w:val="22"/>
          <w:szCs w:val="22"/>
        </w:rPr>
        <w:t>“in tal caso, il rapporto di lavoro si intende ripristinato senza soluzione di continuità,</w:t>
      </w:r>
      <w:r w:rsidRPr="004427DC">
        <w:rPr>
          <w:rFonts w:asciiTheme="minorHAnsi" w:hAnsiTheme="minorHAnsi" w:cs="Arial"/>
          <w:sz w:val="22"/>
          <w:szCs w:val="22"/>
        </w:rPr>
        <w:t xml:space="preserve"> </w:t>
      </w:r>
      <w:r w:rsidRPr="004427DC">
        <w:rPr>
          <w:rFonts w:asciiTheme="minorHAnsi" w:hAnsiTheme="minorHAnsi" w:cs="Arial"/>
          <w:i/>
          <w:iCs/>
          <w:sz w:val="22"/>
          <w:szCs w:val="22"/>
        </w:rPr>
        <w:t>senza oneri né sanzioni per il datore di lavoro”.</w:t>
      </w:r>
    </w:p>
    <w:p w14:paraId="6FCE8167" w14:textId="77777777" w:rsidR="003F0175" w:rsidRDefault="003F0175" w:rsidP="004427DC">
      <w:pPr>
        <w:autoSpaceDE w:val="0"/>
        <w:autoSpaceDN w:val="0"/>
        <w:rPr>
          <w:rFonts w:asciiTheme="minorHAnsi" w:hAnsiTheme="minorHAnsi" w:cs="Arial"/>
          <w:b/>
          <w:bCs/>
          <w:sz w:val="22"/>
          <w:szCs w:val="22"/>
        </w:rPr>
      </w:pPr>
    </w:p>
    <w:p w14:paraId="26A18C22" w14:textId="77777777" w:rsidR="003F0175" w:rsidRDefault="003F0175" w:rsidP="004427DC">
      <w:pPr>
        <w:autoSpaceDE w:val="0"/>
        <w:autoSpaceDN w:val="0"/>
        <w:rPr>
          <w:rFonts w:asciiTheme="minorHAnsi" w:hAnsiTheme="minorHAnsi" w:cs="Arial"/>
          <w:b/>
          <w:bCs/>
          <w:sz w:val="22"/>
          <w:szCs w:val="22"/>
        </w:rPr>
      </w:pPr>
    </w:p>
    <w:p w14:paraId="5D0293FF" w14:textId="604733F8" w:rsidR="004427DC" w:rsidRPr="004427DC" w:rsidRDefault="004427DC" w:rsidP="004427DC">
      <w:pPr>
        <w:autoSpaceDE w:val="0"/>
        <w:autoSpaceDN w:val="0"/>
        <w:rPr>
          <w:rFonts w:asciiTheme="minorHAnsi" w:hAnsiTheme="minorHAnsi" w:cs="Arial"/>
          <w:b/>
          <w:bCs/>
          <w:sz w:val="22"/>
          <w:szCs w:val="22"/>
        </w:rPr>
      </w:pPr>
      <w:r w:rsidRPr="004427DC">
        <w:rPr>
          <w:rFonts w:asciiTheme="minorHAnsi" w:hAnsiTheme="minorHAnsi" w:cs="Arial"/>
          <w:b/>
          <w:bCs/>
          <w:sz w:val="22"/>
          <w:szCs w:val="22"/>
        </w:rPr>
        <w:lastRenderedPageBreak/>
        <w:t>Modifiche agli articoli 61, 62 e 68 del D.L. n. 18/2020: sospensione dei versamenti dei contributi previdenziali ed assistenziali e premi assicurativi</w:t>
      </w:r>
    </w:p>
    <w:p w14:paraId="46F48A35"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Con riferimento alla previsione di cui all’art. 127 del D.L. n. 34/2020, la quale prevede che i versamenti delle ritenute, dei contributi previdenziali e assistenziali e dei premi di assicurazione obbligatoria, sospesi dall’art. 61 del D.L. n. 18/2020, siano effettuati entro il 16 settembre 2020 in un’unica soluzione o con il versamento della prima rata nell’ipotesi di rateizzazione, è stato precisato che tale proroga trova applicazione anche per i versamenti fiscali e contributivi sospesi dall’art. 62 dello stesso D.L. n. 18/2020.</w:t>
      </w:r>
    </w:p>
    <w:p w14:paraId="2E66F4A9"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Inoltre, in relazione alla “Sospensione dei termini di versamento dei carichi affidati all'agente della riscossione” si evidenzia che il temine inizialmente fissato al 31 maggio 2020 dall’art. 68 del D.L. n. 18/2020 viene prorogato dall’art. 154 del D.L. n. 34/2020 al 31 agosto 2020.</w:t>
      </w:r>
    </w:p>
    <w:p w14:paraId="3EC4D654"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Al riguardo, è stato ribadito quanto già comunicato con le precedenti note in merito alla necessità, da parte degli Uffici, di procedere in ogni caso alla “formazione dei ruoli e all’affidamento degli stessi all’Agenzia delle Entrate - Riscossione privilegiando, come avviene ordinariamente, i crediti che siano prossimi alla prescrizione.</w:t>
      </w:r>
    </w:p>
    <w:p w14:paraId="25F4B3C7" w14:textId="77777777" w:rsidR="003F0175" w:rsidRDefault="003F0175" w:rsidP="004427DC">
      <w:pPr>
        <w:autoSpaceDE w:val="0"/>
        <w:autoSpaceDN w:val="0"/>
        <w:rPr>
          <w:rFonts w:asciiTheme="minorHAnsi" w:hAnsiTheme="minorHAnsi" w:cs="Arial"/>
          <w:b/>
          <w:bCs/>
          <w:sz w:val="22"/>
          <w:szCs w:val="22"/>
        </w:rPr>
      </w:pPr>
    </w:p>
    <w:p w14:paraId="205F33AD" w14:textId="1E89C26E" w:rsidR="004427DC" w:rsidRPr="004427DC" w:rsidRDefault="004427DC" w:rsidP="004427DC">
      <w:pPr>
        <w:autoSpaceDE w:val="0"/>
        <w:autoSpaceDN w:val="0"/>
        <w:rPr>
          <w:rFonts w:asciiTheme="minorHAnsi" w:hAnsiTheme="minorHAnsi" w:cs="Arial"/>
          <w:b/>
          <w:bCs/>
          <w:sz w:val="22"/>
          <w:szCs w:val="22"/>
        </w:rPr>
      </w:pPr>
      <w:r w:rsidRPr="004427DC">
        <w:rPr>
          <w:rFonts w:asciiTheme="minorHAnsi" w:hAnsiTheme="minorHAnsi" w:cs="Arial"/>
          <w:b/>
          <w:bCs/>
          <w:sz w:val="22"/>
          <w:szCs w:val="22"/>
        </w:rPr>
        <w:t>Modifiche all’articolo 103: validità del DURC</w:t>
      </w:r>
    </w:p>
    <w:p w14:paraId="7F4E418B"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In merito alla modifica introdotta all’art. 81 del D.L. n. 34/2020, la quale ha previsto che i Durc in scadenza fra il 31 gennaio e il 15 aprile 2020 conservano validità fino al 15 giugno 2020, è stato specificato che, in tal modo, viene inserita un’eccezione rispetto alle validità generale di certificati, attestati, permessi, concessioni, autorizzazioni e atti abilitativi comunque denominati in scadenza tra il 31 gennaio e il 31 luglio 2020 che, per effetto della modifica del comma 2 dell’art. 103 operata in sede di conversione del D.L. n. 18/2020, resta fissata in novanta giorni successivi</w:t>
      </w:r>
      <w:r w:rsidRPr="004427DC">
        <w:rPr>
          <w:rFonts w:asciiTheme="minorHAnsi" w:hAnsiTheme="minorHAnsi" w:cs="Arial"/>
          <w:b/>
          <w:bCs/>
          <w:sz w:val="22"/>
          <w:szCs w:val="22"/>
        </w:rPr>
        <w:t xml:space="preserve"> </w:t>
      </w:r>
      <w:r w:rsidRPr="004427DC">
        <w:rPr>
          <w:rFonts w:asciiTheme="minorHAnsi" w:hAnsiTheme="minorHAnsi" w:cs="Arial"/>
          <w:sz w:val="22"/>
          <w:szCs w:val="22"/>
        </w:rPr>
        <w:t>alla dichiarazione dello stato di emergenza.</w:t>
      </w:r>
    </w:p>
    <w:p w14:paraId="508A5AB9" w14:textId="77777777" w:rsidR="003F0175" w:rsidRDefault="003F0175" w:rsidP="004427DC">
      <w:pPr>
        <w:autoSpaceDE w:val="0"/>
        <w:autoSpaceDN w:val="0"/>
        <w:rPr>
          <w:rFonts w:asciiTheme="minorHAnsi" w:hAnsiTheme="minorHAnsi" w:cs="Arial"/>
          <w:b/>
          <w:bCs/>
          <w:sz w:val="22"/>
          <w:szCs w:val="22"/>
        </w:rPr>
      </w:pPr>
    </w:p>
    <w:p w14:paraId="78357F8F" w14:textId="37A1AD83" w:rsidR="004427DC" w:rsidRPr="004427DC" w:rsidRDefault="004427DC" w:rsidP="004427DC">
      <w:pPr>
        <w:autoSpaceDE w:val="0"/>
        <w:autoSpaceDN w:val="0"/>
        <w:rPr>
          <w:rFonts w:asciiTheme="minorHAnsi" w:hAnsiTheme="minorHAnsi" w:cs="Arial"/>
          <w:b/>
          <w:bCs/>
          <w:sz w:val="22"/>
          <w:szCs w:val="22"/>
        </w:rPr>
      </w:pPr>
      <w:bookmarkStart w:id="0" w:name="_GoBack"/>
      <w:bookmarkEnd w:id="0"/>
      <w:r w:rsidRPr="004427DC">
        <w:rPr>
          <w:rFonts w:asciiTheme="minorHAnsi" w:hAnsiTheme="minorHAnsi" w:cs="Arial"/>
          <w:b/>
          <w:bCs/>
          <w:sz w:val="22"/>
          <w:szCs w:val="22"/>
        </w:rPr>
        <w:t>Proroga o rinnovi del contratto a termine: deroga all’art. 21 del d. Lgs. 81/2015</w:t>
      </w:r>
    </w:p>
    <w:p w14:paraId="376B79C6"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 xml:space="preserve">In merito alla disposizione di cui all’art. 93 del D.L. n. 34/2020, che ha introdotto la possibilità di derogare all’obbligo di indicare le condizioni di cui all’art. 19, comma 1, del </w:t>
      </w:r>
      <w:proofErr w:type="spellStart"/>
      <w:r w:rsidRPr="004427DC">
        <w:rPr>
          <w:rFonts w:asciiTheme="minorHAnsi" w:hAnsiTheme="minorHAnsi" w:cs="Arial"/>
          <w:sz w:val="22"/>
          <w:szCs w:val="22"/>
        </w:rPr>
        <w:t>D.Lgs.</w:t>
      </w:r>
      <w:proofErr w:type="spellEnd"/>
      <w:r w:rsidRPr="004427DC">
        <w:rPr>
          <w:rFonts w:asciiTheme="minorHAnsi" w:hAnsiTheme="minorHAnsi" w:cs="Arial"/>
          <w:sz w:val="22"/>
          <w:szCs w:val="22"/>
        </w:rPr>
        <w:t xml:space="preserve"> n. 81/2015, qualora si intenda prorogare o rinnovare fino al 30 agosto prossimo i contratti a tempo determinato in essere al 23 febbraio 2020, è stato chiarito che, ai fini della proroga o del rinnovo “</w:t>
      </w:r>
      <w:proofErr w:type="spellStart"/>
      <w:r w:rsidRPr="004427DC">
        <w:rPr>
          <w:rFonts w:asciiTheme="minorHAnsi" w:hAnsiTheme="minorHAnsi" w:cs="Arial"/>
          <w:sz w:val="22"/>
          <w:szCs w:val="22"/>
        </w:rPr>
        <w:t>acausale</w:t>
      </w:r>
      <w:proofErr w:type="spellEnd"/>
      <w:r w:rsidRPr="004427DC">
        <w:rPr>
          <w:rFonts w:asciiTheme="minorHAnsi" w:hAnsiTheme="minorHAnsi" w:cs="Arial"/>
          <w:sz w:val="22"/>
          <w:szCs w:val="22"/>
        </w:rPr>
        <w:t>”, devono ricorrere le seguenti condizioni:</w:t>
      </w:r>
    </w:p>
    <w:p w14:paraId="312B7F44" w14:textId="77777777" w:rsidR="004427DC" w:rsidRPr="004427DC" w:rsidRDefault="004427DC" w:rsidP="004427DC">
      <w:pPr>
        <w:pStyle w:val="Paragrafoelenco"/>
        <w:numPr>
          <w:ilvl w:val="0"/>
          <w:numId w:val="44"/>
        </w:numPr>
        <w:autoSpaceDE w:val="0"/>
        <w:autoSpaceDN w:val="0"/>
        <w:rPr>
          <w:rFonts w:asciiTheme="minorHAnsi" w:hAnsiTheme="minorHAnsi" w:cs="Arial"/>
          <w:lang w:eastAsia="it-IT"/>
        </w:rPr>
      </w:pPr>
      <w:r w:rsidRPr="004427DC">
        <w:rPr>
          <w:rFonts w:asciiTheme="minorHAnsi" w:hAnsiTheme="minorHAnsi" w:cs="Arial"/>
          <w:lang w:eastAsia="it-IT"/>
        </w:rPr>
        <w:t>il contratto a tempo determinato deve risultare in essere al 23 febbraio (sono esclusi i contratti stipulati per la prima volta dopo il 23 febbraio);</w:t>
      </w:r>
    </w:p>
    <w:p w14:paraId="6CBE217A" w14:textId="77777777" w:rsidR="004427DC" w:rsidRPr="004427DC" w:rsidRDefault="004427DC" w:rsidP="004427DC">
      <w:pPr>
        <w:pStyle w:val="Paragrafoelenco"/>
        <w:numPr>
          <w:ilvl w:val="0"/>
          <w:numId w:val="44"/>
        </w:numPr>
        <w:autoSpaceDE w:val="0"/>
        <w:autoSpaceDN w:val="0"/>
        <w:rPr>
          <w:rFonts w:asciiTheme="minorHAnsi" w:hAnsiTheme="minorHAnsi" w:cs="Arial"/>
          <w:lang w:eastAsia="it-IT"/>
        </w:rPr>
      </w:pPr>
      <w:r w:rsidRPr="004427DC">
        <w:rPr>
          <w:rFonts w:asciiTheme="minorHAnsi" w:hAnsiTheme="minorHAnsi" w:cs="Arial"/>
          <w:lang w:eastAsia="it-IT"/>
        </w:rPr>
        <w:t>il contratto di lavoro prorogato o rinnovato deve cessare entro il 30 agosto 2020.</w:t>
      </w:r>
    </w:p>
    <w:p w14:paraId="551733FD" w14:textId="77777777" w:rsidR="004427DC" w:rsidRPr="004427DC" w:rsidRDefault="004427DC" w:rsidP="004427DC">
      <w:pPr>
        <w:autoSpaceDE w:val="0"/>
        <w:autoSpaceDN w:val="0"/>
        <w:rPr>
          <w:rFonts w:asciiTheme="minorHAnsi" w:hAnsiTheme="minorHAnsi" w:cs="Arial"/>
          <w:sz w:val="22"/>
          <w:szCs w:val="22"/>
        </w:rPr>
      </w:pPr>
      <w:r w:rsidRPr="004427DC">
        <w:rPr>
          <w:rFonts w:asciiTheme="minorHAnsi" w:hAnsiTheme="minorHAnsi" w:cs="Arial"/>
          <w:sz w:val="22"/>
          <w:szCs w:val="22"/>
        </w:rPr>
        <w:t>Resta ferma la possibilità di disporre una proroga “</w:t>
      </w:r>
      <w:proofErr w:type="spellStart"/>
      <w:r w:rsidRPr="004427DC">
        <w:rPr>
          <w:rFonts w:asciiTheme="minorHAnsi" w:hAnsiTheme="minorHAnsi" w:cs="Arial"/>
          <w:sz w:val="22"/>
          <w:szCs w:val="22"/>
        </w:rPr>
        <w:t>acausale</w:t>
      </w:r>
      <w:proofErr w:type="spellEnd"/>
      <w:r w:rsidRPr="004427DC">
        <w:rPr>
          <w:rFonts w:asciiTheme="minorHAnsi" w:hAnsiTheme="minorHAnsi" w:cs="Arial"/>
          <w:sz w:val="22"/>
          <w:szCs w:val="22"/>
        </w:rPr>
        <w:t xml:space="preserve">”, anche oltre il 30 agosto, qualora la stessa, nel rispetto dell’art. 19, comma 1, del </w:t>
      </w:r>
      <w:proofErr w:type="spellStart"/>
      <w:r w:rsidRPr="004427DC">
        <w:rPr>
          <w:rFonts w:asciiTheme="minorHAnsi" w:hAnsiTheme="minorHAnsi" w:cs="Arial"/>
          <w:sz w:val="22"/>
          <w:szCs w:val="22"/>
        </w:rPr>
        <w:t>D.Lgs.</w:t>
      </w:r>
      <w:proofErr w:type="spellEnd"/>
      <w:r w:rsidRPr="004427DC">
        <w:rPr>
          <w:rFonts w:asciiTheme="minorHAnsi" w:hAnsiTheme="minorHAnsi" w:cs="Arial"/>
          <w:sz w:val="22"/>
          <w:szCs w:val="22"/>
        </w:rPr>
        <w:t xml:space="preserve"> n. 81/2015, non comporti il superamento del periodo di 12 mesi.</w:t>
      </w:r>
    </w:p>
    <w:p w14:paraId="763255B0" w14:textId="77777777" w:rsidR="004427DC" w:rsidRDefault="004427DC" w:rsidP="004427DC">
      <w:pPr>
        <w:rPr>
          <w:rFonts w:ascii="Calibri" w:hAnsi="Calibri" w:cs="Calibri"/>
          <w:color w:val="44546A"/>
        </w:rPr>
      </w:pPr>
    </w:p>
    <w:p w14:paraId="040E268B" w14:textId="77777777" w:rsidR="004427DC" w:rsidRDefault="004427DC" w:rsidP="004427DC"/>
    <w:p w14:paraId="6F7F06AF" w14:textId="77777777" w:rsidR="00D905BE" w:rsidRPr="005515C6" w:rsidRDefault="00D905BE" w:rsidP="00D905BE">
      <w:pPr>
        <w:rPr>
          <w:rFonts w:asciiTheme="minorHAnsi" w:hAnsiTheme="minorHAnsi" w:cstheme="minorHAnsi"/>
          <w:sz w:val="22"/>
          <w:szCs w:val="22"/>
        </w:rPr>
      </w:pPr>
    </w:p>
    <w:p w14:paraId="7CB21F40" w14:textId="77777777" w:rsidR="00D10ABE" w:rsidRDefault="00D10ABE" w:rsidP="00C432AC">
      <w:pPr>
        <w:autoSpaceDE w:val="0"/>
        <w:autoSpaceDN w:val="0"/>
        <w:adjustRightInd w:val="0"/>
        <w:jc w:val="both"/>
        <w:rPr>
          <w:rFonts w:asciiTheme="minorHAnsi" w:hAnsiTheme="minorHAnsi" w:cstheme="minorHAnsi"/>
          <w:b/>
          <w:bCs/>
          <w:sz w:val="22"/>
          <w:szCs w:val="22"/>
        </w:rPr>
      </w:pPr>
    </w:p>
    <w:p w14:paraId="40C43303" w14:textId="291DF0F8" w:rsidR="00A7481A" w:rsidRPr="008C2802" w:rsidRDefault="00A7481A" w:rsidP="00C432AC">
      <w:pPr>
        <w:autoSpaceDE w:val="0"/>
        <w:autoSpaceDN w:val="0"/>
        <w:adjustRightInd w:val="0"/>
        <w:jc w:val="both"/>
        <w:rPr>
          <w:rFonts w:asciiTheme="minorHAnsi" w:hAnsiTheme="minorHAnsi" w:cstheme="minorHAnsi"/>
          <w:b/>
          <w:bCs/>
          <w:sz w:val="22"/>
          <w:szCs w:val="22"/>
        </w:rPr>
      </w:pPr>
      <w:r w:rsidRPr="008C2802">
        <w:rPr>
          <w:rFonts w:asciiTheme="minorHAnsi" w:hAnsiTheme="minorHAnsi" w:cstheme="minorHAnsi"/>
          <w:b/>
          <w:bCs/>
          <w:sz w:val="22"/>
          <w:szCs w:val="22"/>
        </w:rPr>
        <w:t>Riferimenti:</w:t>
      </w:r>
    </w:p>
    <w:p w14:paraId="41E5E40A"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7"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D5B3C65" w14:textId="6CD72895"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4427DC">
        <w:rPr>
          <w:rFonts w:asciiTheme="minorHAnsi" w:hAnsiTheme="minorHAnsi" w:cstheme="minorHAnsi"/>
          <w:sz w:val="22"/>
          <w:szCs w:val="22"/>
        </w:rPr>
        <w:t>0</w:t>
      </w:r>
      <w:r w:rsidR="005515C6">
        <w:rPr>
          <w:rFonts w:asciiTheme="minorHAnsi" w:hAnsiTheme="minorHAnsi" w:cstheme="minorHAnsi"/>
          <w:sz w:val="22"/>
          <w:szCs w:val="22"/>
        </w:rPr>
        <w:t>8</w:t>
      </w:r>
      <w:r w:rsidR="00FA75F7" w:rsidRPr="008C2802">
        <w:rPr>
          <w:rFonts w:asciiTheme="minorHAnsi" w:hAnsiTheme="minorHAnsi" w:cstheme="minorHAnsi"/>
          <w:sz w:val="22"/>
          <w:szCs w:val="22"/>
        </w:rPr>
        <w:t>/0</w:t>
      </w:r>
      <w:r w:rsidR="004427DC">
        <w:rPr>
          <w:rFonts w:asciiTheme="minorHAnsi" w:hAnsiTheme="minorHAnsi" w:cstheme="minorHAnsi"/>
          <w:sz w:val="22"/>
          <w:szCs w:val="22"/>
        </w:rPr>
        <w:t>6</w:t>
      </w:r>
      <w:r w:rsidR="001B318E" w:rsidRPr="008C2802">
        <w:rPr>
          <w:rFonts w:asciiTheme="minorHAnsi" w:hAnsiTheme="minorHAnsi" w:cstheme="minorHAnsi"/>
          <w:sz w:val="22"/>
          <w:szCs w:val="22"/>
        </w:rPr>
        <w:t>/2020</w:t>
      </w:r>
    </w:p>
    <w:sectPr w:rsidR="00783E6E" w:rsidRPr="008C2802"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BBFA4" w14:textId="77777777" w:rsidR="00BE55E3" w:rsidRDefault="00BE55E3">
      <w:r>
        <w:separator/>
      </w:r>
    </w:p>
  </w:endnote>
  <w:endnote w:type="continuationSeparator" w:id="0">
    <w:p w14:paraId="754F2413" w14:textId="77777777" w:rsidR="00BE55E3" w:rsidRDefault="00BE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10002FF" w:usb1="4000FCFF" w:usb2="00000009" w:usb3="00000000" w:csb0="0000019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C9F9" w14:textId="77777777" w:rsidR="00BE55E3" w:rsidRDefault="00BE55E3">
      <w:r>
        <w:separator/>
      </w:r>
    </w:p>
  </w:footnote>
  <w:footnote w:type="continuationSeparator" w:id="0">
    <w:p w14:paraId="5923F652" w14:textId="77777777" w:rsidR="00BE55E3" w:rsidRDefault="00BE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364F44"/>
    <w:multiLevelType w:val="hybridMultilevel"/>
    <w:tmpl w:val="8DA0DF2E"/>
    <w:lvl w:ilvl="0" w:tplc="ABCC203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6"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9"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2"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0"/>
  </w:num>
  <w:num w:numId="2">
    <w:abstractNumId w:val="32"/>
  </w:num>
  <w:num w:numId="3">
    <w:abstractNumId w:val="9"/>
  </w:num>
  <w:num w:numId="4">
    <w:abstractNumId w:val="3"/>
  </w:num>
  <w:num w:numId="5">
    <w:abstractNumId w:val="35"/>
  </w:num>
  <w:num w:numId="6">
    <w:abstractNumId w:val="31"/>
  </w:num>
  <w:num w:numId="7">
    <w:abstractNumId w:val="14"/>
  </w:num>
  <w:num w:numId="8">
    <w:abstractNumId w:val="1"/>
  </w:num>
  <w:num w:numId="9">
    <w:abstractNumId w:val="8"/>
  </w:num>
  <w:num w:numId="10">
    <w:abstractNumId w:val="2"/>
  </w:num>
  <w:num w:numId="11">
    <w:abstractNumId w:val="40"/>
  </w:num>
  <w:num w:numId="12">
    <w:abstractNumId w:val="34"/>
  </w:num>
  <w:num w:numId="13">
    <w:abstractNumId w:val="21"/>
  </w:num>
  <w:num w:numId="14">
    <w:abstractNumId w:val="0"/>
  </w:num>
  <w:num w:numId="15">
    <w:abstractNumId w:val="4"/>
  </w:num>
  <w:num w:numId="16">
    <w:abstractNumId w:val="11"/>
  </w:num>
  <w:num w:numId="17">
    <w:abstractNumId w:val="25"/>
  </w:num>
  <w:num w:numId="18">
    <w:abstractNumId w:val="22"/>
  </w:num>
  <w:num w:numId="19">
    <w:abstractNumId w:val="39"/>
  </w:num>
  <w:num w:numId="20">
    <w:abstractNumId w:val="12"/>
  </w:num>
  <w:num w:numId="21">
    <w:abstractNumId w:val="16"/>
  </w:num>
  <w:num w:numId="22">
    <w:abstractNumId w:val="13"/>
  </w:num>
  <w:num w:numId="23">
    <w:abstractNumId w:val="10"/>
  </w:num>
  <w:num w:numId="24">
    <w:abstractNumId w:val="18"/>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7"/>
  </w:num>
  <w:num w:numId="29">
    <w:abstractNumId w:val="27"/>
  </w:num>
  <w:num w:numId="30">
    <w:abstractNumId w:val="42"/>
  </w:num>
  <w:num w:numId="31">
    <w:abstractNumId w:val="28"/>
  </w:num>
  <w:num w:numId="32">
    <w:abstractNumId w:val="7"/>
  </w:num>
  <w:num w:numId="33">
    <w:abstractNumId w:val="26"/>
  </w:num>
  <w:num w:numId="34">
    <w:abstractNumId w:val="17"/>
  </w:num>
  <w:num w:numId="35">
    <w:abstractNumId w:val="36"/>
  </w:num>
  <w:num w:numId="36">
    <w:abstractNumId w:val="29"/>
  </w:num>
  <w:num w:numId="37">
    <w:abstractNumId w:val="5"/>
  </w:num>
  <w:num w:numId="38">
    <w:abstractNumId w:val="38"/>
  </w:num>
  <w:num w:numId="39">
    <w:abstractNumId w:val="6"/>
  </w:num>
  <w:num w:numId="40">
    <w:abstractNumId w:val="43"/>
  </w:num>
  <w:num w:numId="41">
    <w:abstractNumId w:val="19"/>
  </w:num>
  <w:num w:numId="42">
    <w:abstractNumId w:val="23"/>
  </w:num>
  <w:num w:numId="43">
    <w:abstractNumId w:val="1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2B42"/>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176E"/>
    <w:rsid w:val="000A39EA"/>
    <w:rsid w:val="000A7082"/>
    <w:rsid w:val="000B06C6"/>
    <w:rsid w:val="000B40C1"/>
    <w:rsid w:val="000D36C6"/>
    <w:rsid w:val="000D4ADA"/>
    <w:rsid w:val="000D5694"/>
    <w:rsid w:val="000F0817"/>
    <w:rsid w:val="000F5713"/>
    <w:rsid w:val="0010022F"/>
    <w:rsid w:val="00103B7C"/>
    <w:rsid w:val="001138D3"/>
    <w:rsid w:val="001214E1"/>
    <w:rsid w:val="001225E9"/>
    <w:rsid w:val="00126D4F"/>
    <w:rsid w:val="001272CC"/>
    <w:rsid w:val="001311CA"/>
    <w:rsid w:val="00136808"/>
    <w:rsid w:val="00142E17"/>
    <w:rsid w:val="00151B1D"/>
    <w:rsid w:val="00151BDD"/>
    <w:rsid w:val="001674E2"/>
    <w:rsid w:val="001752E8"/>
    <w:rsid w:val="00177B26"/>
    <w:rsid w:val="00182C4B"/>
    <w:rsid w:val="00185763"/>
    <w:rsid w:val="00185CD4"/>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3F0175"/>
    <w:rsid w:val="00415253"/>
    <w:rsid w:val="004353E3"/>
    <w:rsid w:val="004427DC"/>
    <w:rsid w:val="004432B6"/>
    <w:rsid w:val="0046276A"/>
    <w:rsid w:val="00472D2B"/>
    <w:rsid w:val="00493014"/>
    <w:rsid w:val="004941CA"/>
    <w:rsid w:val="004A184B"/>
    <w:rsid w:val="004A343B"/>
    <w:rsid w:val="004C2CC8"/>
    <w:rsid w:val="004D48E8"/>
    <w:rsid w:val="004D4957"/>
    <w:rsid w:val="004E62C8"/>
    <w:rsid w:val="004E7405"/>
    <w:rsid w:val="00520F32"/>
    <w:rsid w:val="00531CA4"/>
    <w:rsid w:val="005515C6"/>
    <w:rsid w:val="005521E7"/>
    <w:rsid w:val="005554A0"/>
    <w:rsid w:val="00562DBB"/>
    <w:rsid w:val="00565BA4"/>
    <w:rsid w:val="00571978"/>
    <w:rsid w:val="00571AA5"/>
    <w:rsid w:val="00575238"/>
    <w:rsid w:val="00575EB3"/>
    <w:rsid w:val="00582C6F"/>
    <w:rsid w:val="005939C3"/>
    <w:rsid w:val="00593F4C"/>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B1446"/>
    <w:rsid w:val="006C0991"/>
    <w:rsid w:val="006C2964"/>
    <w:rsid w:val="006C5530"/>
    <w:rsid w:val="006C55FF"/>
    <w:rsid w:val="006C6BFD"/>
    <w:rsid w:val="006C7D21"/>
    <w:rsid w:val="006D1B2E"/>
    <w:rsid w:val="006E4296"/>
    <w:rsid w:val="006E765D"/>
    <w:rsid w:val="006F4A89"/>
    <w:rsid w:val="006F5462"/>
    <w:rsid w:val="006F6EC6"/>
    <w:rsid w:val="00705633"/>
    <w:rsid w:val="00706997"/>
    <w:rsid w:val="00714AA6"/>
    <w:rsid w:val="00721719"/>
    <w:rsid w:val="00727E86"/>
    <w:rsid w:val="00730B07"/>
    <w:rsid w:val="00731D76"/>
    <w:rsid w:val="00737950"/>
    <w:rsid w:val="00742B6A"/>
    <w:rsid w:val="0074414B"/>
    <w:rsid w:val="00744DE8"/>
    <w:rsid w:val="00747B81"/>
    <w:rsid w:val="007552B4"/>
    <w:rsid w:val="0075722D"/>
    <w:rsid w:val="007578BB"/>
    <w:rsid w:val="0076245B"/>
    <w:rsid w:val="007633F0"/>
    <w:rsid w:val="007715BF"/>
    <w:rsid w:val="0078188D"/>
    <w:rsid w:val="0078268C"/>
    <w:rsid w:val="00783E6E"/>
    <w:rsid w:val="007911A1"/>
    <w:rsid w:val="00797FBA"/>
    <w:rsid w:val="007A4BC4"/>
    <w:rsid w:val="007B0324"/>
    <w:rsid w:val="007B28C2"/>
    <w:rsid w:val="007B6340"/>
    <w:rsid w:val="007B72D4"/>
    <w:rsid w:val="007B7550"/>
    <w:rsid w:val="007C0118"/>
    <w:rsid w:val="007E1CB1"/>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04AA1"/>
    <w:rsid w:val="00A04EF5"/>
    <w:rsid w:val="00A108C5"/>
    <w:rsid w:val="00A20E87"/>
    <w:rsid w:val="00A2116B"/>
    <w:rsid w:val="00A35E9C"/>
    <w:rsid w:val="00A554C8"/>
    <w:rsid w:val="00A5706E"/>
    <w:rsid w:val="00A620B2"/>
    <w:rsid w:val="00A64B15"/>
    <w:rsid w:val="00A7481A"/>
    <w:rsid w:val="00A85812"/>
    <w:rsid w:val="00A874BE"/>
    <w:rsid w:val="00A92403"/>
    <w:rsid w:val="00A963E5"/>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E55E3"/>
    <w:rsid w:val="00BF3D5C"/>
    <w:rsid w:val="00BF5DC1"/>
    <w:rsid w:val="00BF611A"/>
    <w:rsid w:val="00C061B6"/>
    <w:rsid w:val="00C10A7A"/>
    <w:rsid w:val="00C1155F"/>
    <w:rsid w:val="00C136E3"/>
    <w:rsid w:val="00C14167"/>
    <w:rsid w:val="00C1474F"/>
    <w:rsid w:val="00C20F49"/>
    <w:rsid w:val="00C23FBE"/>
    <w:rsid w:val="00C35488"/>
    <w:rsid w:val="00C43191"/>
    <w:rsid w:val="00C432AC"/>
    <w:rsid w:val="00C5244E"/>
    <w:rsid w:val="00C60183"/>
    <w:rsid w:val="00C61FD4"/>
    <w:rsid w:val="00C64412"/>
    <w:rsid w:val="00CA0CC6"/>
    <w:rsid w:val="00CA1FD0"/>
    <w:rsid w:val="00CA3A0B"/>
    <w:rsid w:val="00CA5FB4"/>
    <w:rsid w:val="00CA7B6F"/>
    <w:rsid w:val="00CB1241"/>
    <w:rsid w:val="00CB1898"/>
    <w:rsid w:val="00CB45BC"/>
    <w:rsid w:val="00CC42BA"/>
    <w:rsid w:val="00CC679B"/>
    <w:rsid w:val="00CC6FE5"/>
    <w:rsid w:val="00CE4677"/>
    <w:rsid w:val="00CE49E0"/>
    <w:rsid w:val="00CF3C98"/>
    <w:rsid w:val="00CF724D"/>
    <w:rsid w:val="00D0245A"/>
    <w:rsid w:val="00D035AB"/>
    <w:rsid w:val="00D10ABE"/>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905BE"/>
    <w:rsid w:val="00DA5995"/>
    <w:rsid w:val="00DB42A7"/>
    <w:rsid w:val="00DB712C"/>
    <w:rsid w:val="00DC0AA7"/>
    <w:rsid w:val="00DC0ED4"/>
    <w:rsid w:val="00DC0F24"/>
    <w:rsid w:val="00DC7F97"/>
    <w:rsid w:val="00DD3C06"/>
    <w:rsid w:val="00DE65AF"/>
    <w:rsid w:val="00DF6D54"/>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B67"/>
    <w:rsid w:val="00EB5EDF"/>
    <w:rsid w:val="00EB5F34"/>
    <w:rsid w:val="00EC0D5D"/>
    <w:rsid w:val="00EC1344"/>
    <w:rsid w:val="00EC6098"/>
    <w:rsid w:val="00ED00A4"/>
    <w:rsid w:val="00ED2B9F"/>
    <w:rsid w:val="00ED6E2C"/>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90DEA"/>
    <w:rsid w:val="00F94CCF"/>
    <w:rsid w:val="00F97A6E"/>
    <w:rsid w:val="00FA09DD"/>
    <w:rsid w:val="00FA1B14"/>
    <w:rsid w:val="00FA75F7"/>
    <w:rsid w:val="00FC185C"/>
    <w:rsid w:val="00FC53D5"/>
    <w:rsid w:val="00FC666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 w:type="character" w:styleId="Collegamentovisitato">
    <w:name w:val="FollowedHyperlink"/>
    <w:basedOn w:val="Carpredefinitoparagrafo"/>
    <w:semiHidden/>
    <w:unhideWhenUsed/>
    <w:rsid w:val="00D905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101894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1961178741">
      <w:bodyDiv w:val="1"/>
      <w:marLeft w:val="0"/>
      <w:marRight w:val="0"/>
      <w:marTop w:val="0"/>
      <w:marBottom w:val="0"/>
      <w:divBdr>
        <w:top w:val="none" w:sz="0" w:space="0" w:color="auto"/>
        <w:left w:val="none" w:sz="0" w:space="0" w:color="auto"/>
        <w:bottom w:val="none" w:sz="0" w:space="0" w:color="auto"/>
        <w:right w:val="none" w:sz="0" w:space="0" w:color="auto"/>
      </w:divBdr>
      <w:divsChild>
        <w:div w:id="118453297">
          <w:marLeft w:val="0"/>
          <w:marRight w:val="0"/>
          <w:marTop w:val="0"/>
          <w:marBottom w:val="0"/>
          <w:divBdr>
            <w:top w:val="none" w:sz="0" w:space="0" w:color="auto"/>
            <w:left w:val="none" w:sz="0" w:space="0" w:color="auto"/>
            <w:bottom w:val="none" w:sz="0" w:space="0" w:color="auto"/>
            <w:right w:val="none" w:sz="0" w:space="0" w:color="auto"/>
          </w:divBdr>
        </w:div>
        <w:div w:id="364867909">
          <w:marLeft w:val="0"/>
          <w:marRight w:val="0"/>
          <w:marTop w:val="0"/>
          <w:marBottom w:val="0"/>
          <w:divBdr>
            <w:top w:val="none" w:sz="0" w:space="0" w:color="auto"/>
            <w:left w:val="none" w:sz="0" w:space="0" w:color="auto"/>
            <w:bottom w:val="none" w:sz="0" w:space="0" w:color="auto"/>
            <w:right w:val="none" w:sz="0" w:space="0" w:color="auto"/>
          </w:divBdr>
        </w:div>
        <w:div w:id="363293057">
          <w:marLeft w:val="0"/>
          <w:marRight w:val="0"/>
          <w:marTop w:val="0"/>
          <w:marBottom w:val="0"/>
          <w:divBdr>
            <w:top w:val="none" w:sz="0" w:space="0" w:color="auto"/>
            <w:left w:val="none" w:sz="0" w:space="0" w:color="auto"/>
            <w:bottom w:val="none" w:sz="0" w:space="0" w:color="auto"/>
            <w:right w:val="none" w:sz="0" w:space="0" w:color="auto"/>
          </w:divBdr>
        </w:div>
        <w:div w:id="496649232">
          <w:marLeft w:val="0"/>
          <w:marRight w:val="0"/>
          <w:marTop w:val="0"/>
          <w:marBottom w:val="0"/>
          <w:divBdr>
            <w:top w:val="none" w:sz="0" w:space="0" w:color="auto"/>
            <w:left w:val="none" w:sz="0" w:space="0" w:color="auto"/>
            <w:bottom w:val="none" w:sz="0" w:space="0" w:color="auto"/>
            <w:right w:val="none" w:sz="0" w:space="0" w:color="auto"/>
          </w:divBdr>
        </w:div>
        <w:div w:id="617493427">
          <w:marLeft w:val="0"/>
          <w:marRight w:val="0"/>
          <w:marTop w:val="0"/>
          <w:marBottom w:val="0"/>
          <w:divBdr>
            <w:top w:val="none" w:sz="0" w:space="0" w:color="auto"/>
            <w:left w:val="none" w:sz="0" w:space="0" w:color="auto"/>
            <w:bottom w:val="none" w:sz="0" w:space="0" w:color="auto"/>
            <w:right w:val="none" w:sz="0" w:space="0" w:color="auto"/>
          </w:divBdr>
        </w:div>
        <w:div w:id="44182025">
          <w:marLeft w:val="0"/>
          <w:marRight w:val="0"/>
          <w:marTop w:val="0"/>
          <w:marBottom w:val="0"/>
          <w:divBdr>
            <w:top w:val="none" w:sz="0" w:space="0" w:color="auto"/>
            <w:left w:val="none" w:sz="0" w:space="0" w:color="auto"/>
            <w:bottom w:val="none" w:sz="0" w:space="0" w:color="auto"/>
            <w:right w:val="none" w:sz="0" w:space="0" w:color="auto"/>
          </w:divBdr>
        </w:div>
        <w:div w:id="524099326">
          <w:marLeft w:val="0"/>
          <w:marRight w:val="0"/>
          <w:marTop w:val="0"/>
          <w:marBottom w:val="0"/>
          <w:divBdr>
            <w:top w:val="none" w:sz="0" w:space="0" w:color="auto"/>
            <w:left w:val="none" w:sz="0" w:space="0" w:color="auto"/>
            <w:bottom w:val="none" w:sz="0" w:space="0" w:color="auto"/>
            <w:right w:val="none" w:sz="0" w:space="0" w:color="auto"/>
          </w:divBdr>
        </w:div>
        <w:div w:id="90661086">
          <w:marLeft w:val="0"/>
          <w:marRight w:val="0"/>
          <w:marTop w:val="0"/>
          <w:marBottom w:val="0"/>
          <w:divBdr>
            <w:top w:val="none" w:sz="0" w:space="0" w:color="auto"/>
            <w:left w:val="none" w:sz="0" w:space="0" w:color="auto"/>
            <w:bottom w:val="none" w:sz="0" w:space="0" w:color="auto"/>
            <w:right w:val="none" w:sz="0" w:space="0" w:color="auto"/>
          </w:divBdr>
        </w:div>
        <w:div w:id="1298805205">
          <w:marLeft w:val="0"/>
          <w:marRight w:val="0"/>
          <w:marTop w:val="0"/>
          <w:marBottom w:val="0"/>
          <w:divBdr>
            <w:top w:val="none" w:sz="0" w:space="0" w:color="auto"/>
            <w:left w:val="none" w:sz="0" w:space="0" w:color="auto"/>
            <w:bottom w:val="none" w:sz="0" w:space="0" w:color="auto"/>
            <w:right w:val="none" w:sz="0" w:space="0" w:color="auto"/>
          </w:divBdr>
        </w:div>
        <w:div w:id="1384597358">
          <w:marLeft w:val="0"/>
          <w:marRight w:val="0"/>
          <w:marTop w:val="0"/>
          <w:marBottom w:val="0"/>
          <w:divBdr>
            <w:top w:val="none" w:sz="0" w:space="0" w:color="auto"/>
            <w:left w:val="none" w:sz="0" w:space="0" w:color="auto"/>
            <w:bottom w:val="none" w:sz="0" w:space="0" w:color="auto"/>
            <w:right w:val="none" w:sz="0" w:space="0" w:color="auto"/>
          </w:divBdr>
        </w:div>
        <w:div w:id="1836072444">
          <w:marLeft w:val="0"/>
          <w:marRight w:val="0"/>
          <w:marTop w:val="0"/>
          <w:marBottom w:val="0"/>
          <w:divBdr>
            <w:top w:val="none" w:sz="0" w:space="0" w:color="auto"/>
            <w:left w:val="none" w:sz="0" w:space="0" w:color="auto"/>
            <w:bottom w:val="none" w:sz="0" w:space="0" w:color="auto"/>
            <w:right w:val="none" w:sz="0" w:space="0" w:color="auto"/>
          </w:divBdr>
        </w:div>
        <w:div w:id="2043968935">
          <w:marLeft w:val="0"/>
          <w:marRight w:val="0"/>
          <w:marTop w:val="0"/>
          <w:marBottom w:val="0"/>
          <w:divBdr>
            <w:top w:val="none" w:sz="0" w:space="0" w:color="auto"/>
            <w:left w:val="none" w:sz="0" w:space="0" w:color="auto"/>
            <w:bottom w:val="none" w:sz="0" w:space="0" w:color="auto"/>
            <w:right w:val="none" w:sz="0" w:space="0" w:color="auto"/>
          </w:divBdr>
        </w:div>
        <w:div w:id="772089423">
          <w:marLeft w:val="0"/>
          <w:marRight w:val="0"/>
          <w:marTop w:val="0"/>
          <w:marBottom w:val="0"/>
          <w:divBdr>
            <w:top w:val="none" w:sz="0" w:space="0" w:color="auto"/>
            <w:left w:val="none" w:sz="0" w:space="0" w:color="auto"/>
            <w:bottom w:val="none" w:sz="0" w:space="0" w:color="auto"/>
            <w:right w:val="none" w:sz="0" w:space="0" w:color="auto"/>
          </w:divBdr>
        </w:div>
        <w:div w:id="637611378">
          <w:marLeft w:val="0"/>
          <w:marRight w:val="0"/>
          <w:marTop w:val="0"/>
          <w:marBottom w:val="0"/>
          <w:divBdr>
            <w:top w:val="none" w:sz="0" w:space="0" w:color="auto"/>
            <w:left w:val="none" w:sz="0" w:space="0" w:color="auto"/>
            <w:bottom w:val="none" w:sz="0" w:space="0" w:color="auto"/>
            <w:right w:val="none" w:sz="0" w:space="0" w:color="auto"/>
          </w:divBdr>
        </w:div>
        <w:div w:id="108480102">
          <w:marLeft w:val="0"/>
          <w:marRight w:val="0"/>
          <w:marTop w:val="0"/>
          <w:marBottom w:val="0"/>
          <w:divBdr>
            <w:top w:val="none" w:sz="0" w:space="0" w:color="auto"/>
            <w:left w:val="none" w:sz="0" w:space="0" w:color="auto"/>
            <w:bottom w:val="none" w:sz="0" w:space="0" w:color="auto"/>
            <w:right w:val="none" w:sz="0" w:space="0" w:color="auto"/>
          </w:divBdr>
        </w:div>
        <w:div w:id="1214921649">
          <w:marLeft w:val="0"/>
          <w:marRight w:val="0"/>
          <w:marTop w:val="0"/>
          <w:marBottom w:val="0"/>
          <w:divBdr>
            <w:top w:val="none" w:sz="0" w:space="0" w:color="auto"/>
            <w:left w:val="none" w:sz="0" w:space="0" w:color="auto"/>
            <w:bottom w:val="none" w:sz="0" w:space="0" w:color="auto"/>
            <w:right w:val="none" w:sz="0" w:space="0" w:color="auto"/>
          </w:divBdr>
        </w:div>
        <w:div w:id="233469846">
          <w:marLeft w:val="0"/>
          <w:marRight w:val="0"/>
          <w:marTop w:val="0"/>
          <w:marBottom w:val="0"/>
          <w:divBdr>
            <w:top w:val="none" w:sz="0" w:space="0" w:color="auto"/>
            <w:left w:val="none" w:sz="0" w:space="0" w:color="auto"/>
            <w:bottom w:val="none" w:sz="0" w:space="0" w:color="auto"/>
            <w:right w:val="none" w:sz="0" w:space="0" w:color="auto"/>
          </w:divBdr>
        </w:div>
        <w:div w:id="1785879246">
          <w:marLeft w:val="0"/>
          <w:marRight w:val="0"/>
          <w:marTop w:val="0"/>
          <w:marBottom w:val="0"/>
          <w:divBdr>
            <w:top w:val="none" w:sz="0" w:space="0" w:color="auto"/>
            <w:left w:val="none" w:sz="0" w:space="0" w:color="auto"/>
            <w:bottom w:val="none" w:sz="0" w:space="0" w:color="auto"/>
            <w:right w:val="none" w:sz="0" w:space="0" w:color="auto"/>
          </w:divBdr>
        </w:div>
        <w:div w:id="960576019">
          <w:marLeft w:val="0"/>
          <w:marRight w:val="0"/>
          <w:marTop w:val="0"/>
          <w:marBottom w:val="0"/>
          <w:divBdr>
            <w:top w:val="none" w:sz="0" w:space="0" w:color="auto"/>
            <w:left w:val="none" w:sz="0" w:space="0" w:color="auto"/>
            <w:bottom w:val="none" w:sz="0" w:space="0" w:color="auto"/>
            <w:right w:val="none" w:sz="0" w:space="0" w:color="auto"/>
          </w:divBdr>
        </w:div>
        <w:div w:id="346905010">
          <w:marLeft w:val="0"/>
          <w:marRight w:val="0"/>
          <w:marTop w:val="0"/>
          <w:marBottom w:val="0"/>
          <w:divBdr>
            <w:top w:val="none" w:sz="0" w:space="0" w:color="auto"/>
            <w:left w:val="none" w:sz="0" w:space="0" w:color="auto"/>
            <w:bottom w:val="none" w:sz="0" w:space="0" w:color="auto"/>
            <w:right w:val="none" w:sz="0" w:space="0" w:color="auto"/>
          </w:divBdr>
        </w:div>
        <w:div w:id="861868908">
          <w:marLeft w:val="0"/>
          <w:marRight w:val="0"/>
          <w:marTop w:val="0"/>
          <w:marBottom w:val="0"/>
          <w:divBdr>
            <w:top w:val="none" w:sz="0" w:space="0" w:color="auto"/>
            <w:left w:val="none" w:sz="0" w:space="0" w:color="auto"/>
            <w:bottom w:val="none" w:sz="0" w:space="0" w:color="auto"/>
            <w:right w:val="none" w:sz="0" w:space="0" w:color="auto"/>
          </w:divBdr>
        </w:div>
        <w:div w:id="882716199">
          <w:marLeft w:val="0"/>
          <w:marRight w:val="0"/>
          <w:marTop w:val="0"/>
          <w:marBottom w:val="0"/>
          <w:divBdr>
            <w:top w:val="none" w:sz="0" w:space="0" w:color="auto"/>
            <w:left w:val="none" w:sz="0" w:space="0" w:color="auto"/>
            <w:bottom w:val="none" w:sz="0" w:space="0" w:color="auto"/>
            <w:right w:val="none" w:sz="0" w:space="0" w:color="auto"/>
          </w:divBdr>
        </w:div>
        <w:div w:id="458039872">
          <w:marLeft w:val="0"/>
          <w:marRight w:val="0"/>
          <w:marTop w:val="0"/>
          <w:marBottom w:val="0"/>
          <w:divBdr>
            <w:top w:val="none" w:sz="0" w:space="0" w:color="auto"/>
            <w:left w:val="none" w:sz="0" w:space="0" w:color="auto"/>
            <w:bottom w:val="none" w:sz="0" w:space="0" w:color="auto"/>
            <w:right w:val="none" w:sz="0" w:space="0" w:color="auto"/>
          </w:divBdr>
        </w:div>
        <w:div w:id="1954437778">
          <w:marLeft w:val="0"/>
          <w:marRight w:val="0"/>
          <w:marTop w:val="0"/>
          <w:marBottom w:val="0"/>
          <w:divBdr>
            <w:top w:val="none" w:sz="0" w:space="0" w:color="auto"/>
            <w:left w:val="none" w:sz="0" w:space="0" w:color="auto"/>
            <w:bottom w:val="none" w:sz="0" w:space="0" w:color="auto"/>
            <w:right w:val="none" w:sz="0" w:space="0" w:color="auto"/>
          </w:divBdr>
        </w:div>
        <w:div w:id="664667963">
          <w:marLeft w:val="0"/>
          <w:marRight w:val="0"/>
          <w:marTop w:val="0"/>
          <w:marBottom w:val="0"/>
          <w:divBdr>
            <w:top w:val="none" w:sz="0" w:space="0" w:color="auto"/>
            <w:left w:val="none" w:sz="0" w:space="0" w:color="auto"/>
            <w:bottom w:val="none" w:sz="0" w:space="0" w:color="auto"/>
            <w:right w:val="none" w:sz="0" w:space="0" w:color="auto"/>
          </w:divBdr>
        </w:div>
        <w:div w:id="1588542257">
          <w:marLeft w:val="0"/>
          <w:marRight w:val="0"/>
          <w:marTop w:val="0"/>
          <w:marBottom w:val="0"/>
          <w:divBdr>
            <w:top w:val="none" w:sz="0" w:space="0" w:color="auto"/>
            <w:left w:val="none" w:sz="0" w:space="0" w:color="auto"/>
            <w:bottom w:val="none" w:sz="0" w:space="0" w:color="auto"/>
            <w:right w:val="none" w:sz="0" w:space="0" w:color="auto"/>
          </w:divBdr>
        </w:div>
        <w:div w:id="1918980632">
          <w:marLeft w:val="0"/>
          <w:marRight w:val="0"/>
          <w:marTop w:val="0"/>
          <w:marBottom w:val="0"/>
          <w:divBdr>
            <w:top w:val="none" w:sz="0" w:space="0" w:color="auto"/>
            <w:left w:val="none" w:sz="0" w:space="0" w:color="auto"/>
            <w:bottom w:val="none" w:sz="0" w:space="0" w:color="auto"/>
            <w:right w:val="none" w:sz="0" w:space="0" w:color="auto"/>
          </w:divBdr>
        </w:div>
        <w:div w:id="2030256513">
          <w:marLeft w:val="0"/>
          <w:marRight w:val="0"/>
          <w:marTop w:val="0"/>
          <w:marBottom w:val="0"/>
          <w:divBdr>
            <w:top w:val="none" w:sz="0" w:space="0" w:color="auto"/>
            <w:left w:val="none" w:sz="0" w:space="0" w:color="auto"/>
            <w:bottom w:val="none" w:sz="0" w:space="0" w:color="auto"/>
            <w:right w:val="none" w:sz="0" w:space="0" w:color="auto"/>
          </w:divBdr>
        </w:div>
        <w:div w:id="2086956752">
          <w:marLeft w:val="0"/>
          <w:marRight w:val="0"/>
          <w:marTop w:val="0"/>
          <w:marBottom w:val="0"/>
          <w:divBdr>
            <w:top w:val="none" w:sz="0" w:space="0" w:color="auto"/>
            <w:left w:val="none" w:sz="0" w:space="0" w:color="auto"/>
            <w:bottom w:val="none" w:sz="0" w:space="0" w:color="auto"/>
            <w:right w:val="none" w:sz="0" w:space="0" w:color="auto"/>
          </w:divBdr>
        </w:div>
        <w:div w:id="1132213868">
          <w:marLeft w:val="0"/>
          <w:marRight w:val="0"/>
          <w:marTop w:val="0"/>
          <w:marBottom w:val="0"/>
          <w:divBdr>
            <w:top w:val="none" w:sz="0" w:space="0" w:color="auto"/>
            <w:left w:val="none" w:sz="0" w:space="0" w:color="auto"/>
            <w:bottom w:val="none" w:sz="0" w:space="0" w:color="auto"/>
            <w:right w:val="none" w:sz="0" w:space="0" w:color="auto"/>
          </w:divBdr>
        </w:div>
        <w:div w:id="1722707015">
          <w:marLeft w:val="0"/>
          <w:marRight w:val="0"/>
          <w:marTop w:val="0"/>
          <w:marBottom w:val="0"/>
          <w:divBdr>
            <w:top w:val="none" w:sz="0" w:space="0" w:color="auto"/>
            <w:left w:val="none" w:sz="0" w:space="0" w:color="auto"/>
            <w:bottom w:val="none" w:sz="0" w:space="0" w:color="auto"/>
            <w:right w:val="none" w:sz="0" w:space="0" w:color="auto"/>
          </w:divBdr>
        </w:div>
        <w:div w:id="210579586">
          <w:marLeft w:val="0"/>
          <w:marRight w:val="0"/>
          <w:marTop w:val="0"/>
          <w:marBottom w:val="0"/>
          <w:divBdr>
            <w:top w:val="none" w:sz="0" w:space="0" w:color="auto"/>
            <w:left w:val="none" w:sz="0" w:space="0" w:color="auto"/>
            <w:bottom w:val="none" w:sz="0" w:space="0" w:color="auto"/>
            <w:right w:val="none" w:sz="0" w:space="0" w:color="auto"/>
          </w:divBdr>
        </w:div>
        <w:div w:id="80101128">
          <w:marLeft w:val="0"/>
          <w:marRight w:val="0"/>
          <w:marTop w:val="0"/>
          <w:marBottom w:val="0"/>
          <w:divBdr>
            <w:top w:val="none" w:sz="0" w:space="0" w:color="auto"/>
            <w:left w:val="none" w:sz="0" w:space="0" w:color="auto"/>
            <w:bottom w:val="none" w:sz="0" w:space="0" w:color="auto"/>
            <w:right w:val="none" w:sz="0" w:space="0" w:color="auto"/>
          </w:divBdr>
        </w:div>
        <w:div w:id="862401492">
          <w:marLeft w:val="0"/>
          <w:marRight w:val="0"/>
          <w:marTop w:val="0"/>
          <w:marBottom w:val="0"/>
          <w:divBdr>
            <w:top w:val="none" w:sz="0" w:space="0" w:color="auto"/>
            <w:left w:val="none" w:sz="0" w:space="0" w:color="auto"/>
            <w:bottom w:val="none" w:sz="0" w:space="0" w:color="auto"/>
            <w:right w:val="none" w:sz="0" w:space="0" w:color="auto"/>
          </w:divBdr>
        </w:div>
        <w:div w:id="1387408279">
          <w:marLeft w:val="0"/>
          <w:marRight w:val="0"/>
          <w:marTop w:val="0"/>
          <w:marBottom w:val="0"/>
          <w:divBdr>
            <w:top w:val="none" w:sz="0" w:space="0" w:color="auto"/>
            <w:left w:val="none" w:sz="0" w:space="0" w:color="auto"/>
            <w:bottom w:val="none" w:sz="0" w:space="0" w:color="auto"/>
            <w:right w:val="none" w:sz="0" w:space="0" w:color="auto"/>
          </w:divBdr>
        </w:div>
        <w:div w:id="1614747461">
          <w:marLeft w:val="0"/>
          <w:marRight w:val="0"/>
          <w:marTop w:val="0"/>
          <w:marBottom w:val="0"/>
          <w:divBdr>
            <w:top w:val="none" w:sz="0" w:space="0" w:color="auto"/>
            <w:left w:val="none" w:sz="0" w:space="0" w:color="auto"/>
            <w:bottom w:val="none" w:sz="0" w:space="0" w:color="auto"/>
            <w:right w:val="none" w:sz="0" w:space="0" w:color="auto"/>
          </w:divBdr>
        </w:div>
        <w:div w:id="1038092427">
          <w:marLeft w:val="0"/>
          <w:marRight w:val="0"/>
          <w:marTop w:val="0"/>
          <w:marBottom w:val="0"/>
          <w:divBdr>
            <w:top w:val="none" w:sz="0" w:space="0" w:color="auto"/>
            <w:left w:val="none" w:sz="0" w:space="0" w:color="auto"/>
            <w:bottom w:val="none" w:sz="0" w:space="0" w:color="auto"/>
            <w:right w:val="none" w:sz="0" w:space="0" w:color="auto"/>
          </w:divBdr>
        </w:div>
        <w:div w:id="1000156585">
          <w:marLeft w:val="0"/>
          <w:marRight w:val="0"/>
          <w:marTop w:val="0"/>
          <w:marBottom w:val="0"/>
          <w:divBdr>
            <w:top w:val="none" w:sz="0" w:space="0" w:color="auto"/>
            <w:left w:val="none" w:sz="0" w:space="0" w:color="auto"/>
            <w:bottom w:val="none" w:sz="0" w:space="0" w:color="auto"/>
            <w:right w:val="none" w:sz="0" w:space="0" w:color="auto"/>
          </w:divBdr>
        </w:div>
        <w:div w:id="1066537317">
          <w:marLeft w:val="0"/>
          <w:marRight w:val="0"/>
          <w:marTop w:val="0"/>
          <w:marBottom w:val="0"/>
          <w:divBdr>
            <w:top w:val="none" w:sz="0" w:space="0" w:color="auto"/>
            <w:left w:val="none" w:sz="0" w:space="0" w:color="auto"/>
            <w:bottom w:val="none" w:sz="0" w:space="0" w:color="auto"/>
            <w:right w:val="none" w:sz="0" w:space="0" w:color="auto"/>
          </w:divBdr>
        </w:div>
        <w:div w:id="1521309041">
          <w:marLeft w:val="0"/>
          <w:marRight w:val="0"/>
          <w:marTop w:val="0"/>
          <w:marBottom w:val="0"/>
          <w:divBdr>
            <w:top w:val="none" w:sz="0" w:space="0" w:color="auto"/>
            <w:left w:val="none" w:sz="0" w:space="0" w:color="auto"/>
            <w:bottom w:val="none" w:sz="0" w:space="0" w:color="auto"/>
            <w:right w:val="none" w:sz="0" w:space="0" w:color="auto"/>
          </w:divBdr>
        </w:div>
        <w:div w:id="1647128002">
          <w:marLeft w:val="0"/>
          <w:marRight w:val="0"/>
          <w:marTop w:val="0"/>
          <w:marBottom w:val="0"/>
          <w:divBdr>
            <w:top w:val="none" w:sz="0" w:space="0" w:color="auto"/>
            <w:left w:val="none" w:sz="0" w:space="0" w:color="auto"/>
            <w:bottom w:val="none" w:sz="0" w:space="0" w:color="auto"/>
            <w:right w:val="none" w:sz="0" w:space="0" w:color="auto"/>
          </w:divBdr>
        </w:div>
        <w:div w:id="116917578">
          <w:marLeft w:val="0"/>
          <w:marRight w:val="0"/>
          <w:marTop w:val="0"/>
          <w:marBottom w:val="0"/>
          <w:divBdr>
            <w:top w:val="none" w:sz="0" w:space="0" w:color="auto"/>
            <w:left w:val="none" w:sz="0" w:space="0" w:color="auto"/>
            <w:bottom w:val="none" w:sz="0" w:space="0" w:color="auto"/>
            <w:right w:val="none" w:sz="0" w:space="0" w:color="auto"/>
          </w:divBdr>
        </w:div>
      </w:divsChild>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43</TotalTime>
  <Pages>2</Pages>
  <Words>1011</Words>
  <Characters>5767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6765</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20</cp:revision>
  <cp:lastPrinted>2019-11-18T08:55:00Z</cp:lastPrinted>
  <dcterms:created xsi:type="dcterms:W3CDTF">2020-03-31T08:57:00Z</dcterms:created>
  <dcterms:modified xsi:type="dcterms:W3CDTF">2020-06-08T13:09:00Z</dcterms:modified>
</cp:coreProperties>
</file>