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C3F3C" w14:textId="1EFAFAB6" w:rsidR="00C24A9A" w:rsidRPr="00084DD6" w:rsidRDefault="000E5391" w:rsidP="00C24A9A">
      <w:pPr>
        <w:spacing w:after="150"/>
        <w:rPr>
          <w:rFonts w:ascii="Calibri" w:hAnsi="Calibri" w:cs="Calibri"/>
          <w:b/>
          <w:bCs/>
          <w:sz w:val="22"/>
          <w:szCs w:val="22"/>
        </w:rPr>
      </w:pPr>
      <w:r>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084DD6" w:rsidRPr="00084DD6">
        <w:rPr>
          <w:rFonts w:ascii="Calibri" w:hAnsi="Calibri" w:cs="Calibri"/>
          <w:b/>
          <w:bCs/>
          <w:sz w:val="22"/>
          <w:szCs w:val="22"/>
        </w:rPr>
        <w:t xml:space="preserve">DL Rilancio. </w:t>
      </w:r>
      <w:bookmarkStart w:id="0" w:name="_GoBack"/>
      <w:r w:rsidR="00084DD6" w:rsidRPr="00084DD6">
        <w:rPr>
          <w:rFonts w:ascii="Calibri" w:hAnsi="Calibri" w:cs="Calibri"/>
          <w:b/>
          <w:bCs/>
          <w:sz w:val="22"/>
          <w:szCs w:val="22"/>
        </w:rPr>
        <w:t>Credito d’imposta locazioni immobili ad uso non abitativo</w:t>
      </w:r>
    </w:p>
    <w:bookmarkEnd w:id="0"/>
    <w:p w14:paraId="1FA9DC30" w14:textId="62E76585" w:rsidR="00091677" w:rsidRDefault="00084DD6" w:rsidP="00270D53">
      <w:pPr>
        <w:rPr>
          <w:rFonts w:ascii="Calibri" w:hAnsi="Calibri" w:cs="Calibri"/>
          <w:color w:val="1C2024"/>
          <w:sz w:val="22"/>
          <w:szCs w:val="22"/>
        </w:rPr>
      </w:pPr>
      <w:r w:rsidRPr="00084DD6">
        <w:rPr>
          <w:rFonts w:ascii="Calibri" w:hAnsi="Calibri" w:cs="Calibri"/>
          <w:color w:val="1C2024"/>
          <w:sz w:val="22"/>
          <w:szCs w:val="22"/>
        </w:rPr>
        <w:t>Chiarimenti dell’Agenzia delle Entrate</w:t>
      </w:r>
    </w:p>
    <w:p w14:paraId="4D4FC193" w14:textId="016A987E" w:rsidR="00A029CB" w:rsidRDefault="00A029CB" w:rsidP="00270D53">
      <w:pPr>
        <w:rPr>
          <w:rFonts w:ascii="Calibri" w:hAnsi="Calibri" w:cs="Calibri"/>
          <w:color w:val="1C2024"/>
          <w:sz w:val="22"/>
          <w:szCs w:val="22"/>
        </w:rPr>
      </w:pPr>
    </w:p>
    <w:p w14:paraId="43597DB8"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 xml:space="preserve">Dal 6 giugno è possibile utilizzare il credito d’imposta del 60 per cento del canone mensile per la locazione, il leasing o la concessione di immobili ad uso non abitativo destinati allo svolgimento di attività industriali, commerciali, artigianali, agricole. </w:t>
      </w:r>
    </w:p>
    <w:p w14:paraId="5B38C9FE"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 xml:space="preserve">Lo rende noto l’Agenzia delle Entrate con la </w:t>
      </w:r>
      <w:hyperlink r:id="rId7" w:history="1">
        <w:r w:rsidRPr="000E5391">
          <w:rPr>
            <w:rStyle w:val="Collegamentoipertestuale"/>
            <w:rFonts w:ascii="Calibri" w:hAnsi="Calibri" w:cs="Calibri Light"/>
            <w:color w:val="auto"/>
            <w:sz w:val="22"/>
            <w:szCs w:val="22"/>
          </w:rPr>
          <w:t>Risoluz</w:t>
        </w:r>
        <w:r w:rsidRPr="000E5391">
          <w:rPr>
            <w:rStyle w:val="Collegamentoipertestuale"/>
            <w:rFonts w:ascii="Calibri" w:hAnsi="Calibri" w:cs="Calibri Light"/>
            <w:color w:val="auto"/>
            <w:sz w:val="22"/>
            <w:szCs w:val="22"/>
          </w:rPr>
          <w:t>i</w:t>
        </w:r>
        <w:r w:rsidRPr="000E5391">
          <w:rPr>
            <w:rStyle w:val="Collegamentoipertestuale"/>
            <w:rFonts w:ascii="Calibri" w:hAnsi="Calibri" w:cs="Calibri Light"/>
            <w:color w:val="auto"/>
            <w:sz w:val="22"/>
            <w:szCs w:val="22"/>
          </w:rPr>
          <w:t>one n. 32/E</w:t>
        </w:r>
      </w:hyperlink>
      <w:r w:rsidRPr="000E5391">
        <w:rPr>
          <w:rFonts w:ascii="Calibri" w:hAnsi="Calibri" w:cs="Calibri Light"/>
          <w:sz w:val="22"/>
          <w:szCs w:val="22"/>
        </w:rPr>
        <w:t xml:space="preserve"> che ha istituito il codice tributo “</w:t>
      </w:r>
      <w:r w:rsidRPr="000E5391">
        <w:rPr>
          <w:rFonts w:ascii="Calibri" w:hAnsi="Calibri" w:cs="Calibri Light"/>
          <w:b/>
          <w:bCs/>
          <w:sz w:val="22"/>
          <w:szCs w:val="22"/>
        </w:rPr>
        <w:t>6920</w:t>
      </w:r>
      <w:r w:rsidRPr="000E5391">
        <w:rPr>
          <w:rFonts w:ascii="Calibri" w:hAnsi="Calibri" w:cs="Calibri Light"/>
          <w:sz w:val="22"/>
          <w:szCs w:val="22"/>
        </w:rPr>
        <w:t xml:space="preserve">” che consente alle imprese la compensazione con modello F24, utilizzando i servizi telematici delle Entrate. È inoltre disponibile la </w:t>
      </w:r>
      <w:hyperlink r:id="rId8" w:history="1">
        <w:r w:rsidRPr="000E5391">
          <w:rPr>
            <w:rStyle w:val="Collegamentoipertestuale"/>
            <w:rFonts w:ascii="Calibri" w:hAnsi="Calibri" w:cs="Calibri Light"/>
            <w:color w:val="auto"/>
            <w:sz w:val="22"/>
            <w:szCs w:val="22"/>
          </w:rPr>
          <w:t>Circol</w:t>
        </w:r>
        <w:r w:rsidRPr="000E5391">
          <w:rPr>
            <w:rStyle w:val="Collegamentoipertestuale"/>
            <w:rFonts w:ascii="Calibri" w:hAnsi="Calibri" w:cs="Calibri Light"/>
            <w:color w:val="auto"/>
            <w:sz w:val="22"/>
            <w:szCs w:val="22"/>
          </w:rPr>
          <w:t>a</w:t>
        </w:r>
        <w:r w:rsidRPr="000E5391">
          <w:rPr>
            <w:rStyle w:val="Collegamentoipertestuale"/>
            <w:rFonts w:ascii="Calibri" w:hAnsi="Calibri" w:cs="Calibri Light"/>
            <w:color w:val="auto"/>
            <w:sz w:val="22"/>
            <w:szCs w:val="22"/>
          </w:rPr>
          <w:t>re n. 14/E</w:t>
        </w:r>
      </w:hyperlink>
      <w:r w:rsidRPr="000E5391">
        <w:rPr>
          <w:rFonts w:ascii="Calibri" w:hAnsi="Calibri" w:cs="Calibri Light"/>
          <w:sz w:val="22"/>
          <w:szCs w:val="22"/>
        </w:rPr>
        <w:t>, sempre del 6 giugno 2020, che fornisce i primi chiarimenti sull’utilizzo della misura agevolativa prevista dall’articolo 28 del decreto Rilancio. Dai requisiti per accedere sino alle modalità di fruizione del credito, il documento di prassi si sofferma anche sui beneficiari includendo anche i forfetari e gli enti non commerciali, compresi gli enti del terzo settore e gli enti religiosi civilmente riconosciuti, che svolgono attività istituzionale di interesse generale.</w:t>
      </w:r>
    </w:p>
    <w:p w14:paraId="2CAA006C"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 xml:space="preserve">Il credito d’imposta è pari al </w:t>
      </w:r>
      <w:r w:rsidRPr="000E5391">
        <w:rPr>
          <w:rFonts w:ascii="Calibri" w:hAnsi="Calibri" w:cs="Calibri Light"/>
          <w:b/>
          <w:bCs/>
          <w:sz w:val="22"/>
          <w:szCs w:val="22"/>
        </w:rPr>
        <w:t>60 per cento</w:t>
      </w:r>
      <w:r w:rsidRPr="000E5391">
        <w:rPr>
          <w:rFonts w:ascii="Calibri" w:hAnsi="Calibri" w:cs="Calibri Light"/>
          <w:sz w:val="22"/>
          <w:szCs w:val="22"/>
        </w:rPr>
        <w:t xml:space="preserve"> del canone locazione degli immobili ad uso non abitativo e al </w:t>
      </w:r>
      <w:r w:rsidRPr="000E5391">
        <w:rPr>
          <w:rFonts w:ascii="Calibri" w:hAnsi="Calibri" w:cs="Calibri Light"/>
          <w:b/>
          <w:bCs/>
          <w:sz w:val="22"/>
          <w:szCs w:val="22"/>
        </w:rPr>
        <w:t>30 per cento</w:t>
      </w:r>
      <w:r w:rsidRPr="000E5391">
        <w:rPr>
          <w:rFonts w:ascii="Calibri" w:hAnsi="Calibri" w:cs="Calibri Light"/>
          <w:sz w:val="22"/>
          <w:szCs w:val="22"/>
        </w:rPr>
        <w:t xml:space="preserve"> del canone nei casi contratti di affitto d’azienda. L’importo da prendere a riferimento è quello versato nel periodo d’imposta 2020 per ciascuno dei mesi di marzo, aprile e maggio. È comunque necessario che il canone sia stato corrisposto. </w:t>
      </w:r>
    </w:p>
    <w:p w14:paraId="10DEFF56"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 xml:space="preserve">Beneficia del credito d’imposta per canoni di locazione degli immobili a uso non abitativo e affitto d’azienda chi svolge attività d’impresa, arte o professione, con ricavi o compensi non superiori a </w:t>
      </w:r>
      <w:proofErr w:type="gramStart"/>
      <w:r w:rsidRPr="000E5391">
        <w:rPr>
          <w:rFonts w:ascii="Calibri" w:hAnsi="Calibri" w:cs="Calibri Light"/>
          <w:sz w:val="22"/>
          <w:szCs w:val="22"/>
        </w:rPr>
        <w:t>5</w:t>
      </w:r>
      <w:proofErr w:type="gramEnd"/>
      <w:r w:rsidRPr="000E5391">
        <w:rPr>
          <w:rFonts w:ascii="Calibri" w:hAnsi="Calibri" w:cs="Calibri Light"/>
          <w:sz w:val="22"/>
          <w:szCs w:val="22"/>
        </w:rPr>
        <w:t xml:space="preserve"> milioni di euro nel periodo d'imposta precedente a quello in corso alla data di entrata in vigore del decreto Rilancio. </w:t>
      </w:r>
    </w:p>
    <w:p w14:paraId="55F64063"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Il credito di imposta è riconosciuto alle strutture alberghiere e agrituristiche a prescindere dal volume di ricavi e compensi registrato nel periodo d'imposta precedente. Si ritengono inclusi i forfetari e le imprese agricole. Sono inclusi anche coloro che svolgono un’attività alberghiera o agrituristica stagionale; in tal caso, i mesi da prendere a riferimento ai fini del credito d’imposta sono quelli relativi al pagamento dei canoni di aprile, maggio e giugno.</w:t>
      </w:r>
    </w:p>
    <w:p w14:paraId="6310EE01"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 xml:space="preserve">Il credito d’imposta spetta a condizione che i soggetti esercenti attività economica abbiano subito una diminuzione del fatturato o dei corrispettivi in ciascuno dei mesi di marzo, aprile e maggio di almeno il cinquanta per cento rispetto allo stesso mese del periodo d’imposta precedente. Il calo del fatturato o dei corrispettivi deve essere verificato mese per mese. </w:t>
      </w:r>
    </w:p>
    <w:p w14:paraId="1B87869D"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Il credito d’imposta è utilizzabile in compensazione, nella dichiarazione dei redditi relativa al periodo d’imposta di sostenimento della spesa; o, in alternativa può essere ceduto. La cessione può avvenire a favore del locatore o del concedente, oppure di altri soggetti, compresi istituti di credito e altri intermediari finanziari, con facoltà di successiva cessione del credito per questi ultimi. Le modalità attuative delle disposizioni relative alla cessione del credito d’imposta saranno definite nel provvedimento del direttore dell'Agenzia delle Entrate previsto per le altre misure emanate per fronteggiare l’emergenza da COVID-19.</w:t>
      </w:r>
    </w:p>
    <w:p w14:paraId="3943FE3E" w14:textId="77777777" w:rsidR="00084DD6" w:rsidRPr="000E5391" w:rsidRDefault="00084DD6" w:rsidP="00084DD6">
      <w:pPr>
        <w:pStyle w:val="NormaleWeb"/>
        <w:spacing w:after="150"/>
        <w:rPr>
          <w:rFonts w:ascii="Calibri" w:hAnsi="Calibri" w:cs="Calibri Light"/>
          <w:sz w:val="22"/>
          <w:szCs w:val="22"/>
        </w:rPr>
      </w:pPr>
      <w:r w:rsidRPr="000E5391">
        <w:rPr>
          <w:rFonts w:ascii="Calibri" w:hAnsi="Calibri" w:cs="Calibri Light"/>
          <w:sz w:val="22"/>
          <w:szCs w:val="22"/>
        </w:rPr>
        <w:t>Il credito è utilizzabile nella dichiarazione dei redditi relativa al periodo d’imposta di sostenimento della spesa oppure in compensazione successivamente all’avvenuto pagamento dei canoni. La compensazione avviene utilizzando il modello F24 da presentare esclusivamente attraverso i servizi telematici messi a disposizione dell’Agenzia delle Entrate e indicando il codice tributo “6920”.</w:t>
      </w:r>
    </w:p>
    <w:p w14:paraId="007D55C3" w14:textId="77777777" w:rsidR="00084DD6" w:rsidRPr="00084DD6" w:rsidRDefault="00084DD6" w:rsidP="00084DD6">
      <w:pPr>
        <w:pStyle w:val="NormaleWeb"/>
        <w:spacing w:after="150"/>
        <w:rPr>
          <w:rFonts w:ascii="Calibri Light" w:hAnsi="Calibri Light" w:cs="Calibri Light"/>
          <w:color w:val="1C2024"/>
          <w:sz w:val="22"/>
          <w:szCs w:val="22"/>
        </w:rPr>
      </w:pPr>
    </w:p>
    <w:p w14:paraId="21FD47BF" w14:textId="6BAF4EC4" w:rsidR="00091677" w:rsidRDefault="00091677" w:rsidP="008009D5">
      <w:pPr>
        <w:tabs>
          <w:tab w:val="left" w:pos="720"/>
          <w:tab w:val="left" w:pos="900"/>
          <w:tab w:val="left" w:pos="1260"/>
          <w:tab w:val="left" w:pos="5580"/>
          <w:tab w:val="left" w:pos="6120"/>
        </w:tabs>
        <w:ind w:right="-2"/>
        <w:rPr>
          <w:rFonts w:ascii="Calibri" w:hAnsi="Calibri" w:cs="Calibri"/>
          <w:b/>
          <w:bCs/>
          <w:sz w:val="22"/>
          <w:szCs w:val="22"/>
        </w:rPr>
      </w:pPr>
    </w:p>
    <w:p w14:paraId="3F6D970F" w14:textId="77777777" w:rsidR="00084DD6" w:rsidRDefault="00084DD6" w:rsidP="008009D5">
      <w:pPr>
        <w:tabs>
          <w:tab w:val="left" w:pos="720"/>
          <w:tab w:val="left" w:pos="900"/>
          <w:tab w:val="left" w:pos="1260"/>
          <w:tab w:val="left" w:pos="5580"/>
          <w:tab w:val="left" w:pos="6120"/>
        </w:tabs>
        <w:ind w:right="-2"/>
        <w:rPr>
          <w:rFonts w:ascii="Calibri" w:hAnsi="Calibri" w:cs="Calibri"/>
          <w:b/>
          <w:bCs/>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9"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A82347">
        <w:rPr>
          <w:rFonts w:ascii="Calibri" w:hAnsi="Calibri" w:cs="Calibri"/>
          <w:sz w:val="22"/>
          <w:szCs w:val="22"/>
        </w:rPr>
        <w:t>Email</w:t>
      </w:r>
      <w:proofErr w:type="gramEnd"/>
      <w:r w:rsidRPr="00A82347">
        <w:rPr>
          <w:rFonts w:ascii="Calibri" w:hAnsi="Calibri" w:cs="Calibri"/>
          <w:sz w:val="22"/>
          <w:szCs w:val="22"/>
        </w:rPr>
        <w:t xml:space="preserve">: </w:t>
      </w:r>
      <w:hyperlink r:id="rId10" w:history="1">
        <w:r w:rsidRPr="00A82347">
          <w:rPr>
            <w:rFonts w:ascii="Calibri" w:hAnsi="Calibri" w:cs="Calibri"/>
            <w:color w:val="0000FF"/>
            <w:sz w:val="22"/>
            <w:szCs w:val="22"/>
            <w:u w:val="single"/>
          </w:rPr>
          <w:t>vignaroli@confindustria.umbria.it</w:t>
        </w:r>
      </w:hyperlink>
      <w:r w:rsidRPr="00A82347">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A82347">
        <w:rPr>
          <w:rFonts w:ascii="Calibri" w:hAnsi="Calibri" w:cs="Calibri"/>
          <w:sz w:val="22"/>
          <w:szCs w:val="22"/>
        </w:rPr>
        <w:t>Email</w:t>
      </w:r>
      <w:proofErr w:type="gramEnd"/>
      <w:r w:rsidRPr="00A82347">
        <w:rPr>
          <w:rFonts w:ascii="Calibri" w:hAnsi="Calibri" w:cs="Calibri"/>
          <w:sz w:val="22"/>
          <w:szCs w:val="22"/>
        </w:rPr>
        <w:t>: </w:t>
      </w:r>
      <w:hyperlink r:id="rId11"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311AC975"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2360B0">
        <w:rPr>
          <w:rFonts w:ascii="Calibri" w:hAnsi="Calibri" w:cs="Calibri"/>
          <w:sz w:val="22"/>
          <w:szCs w:val="22"/>
        </w:rPr>
        <w:t>0</w:t>
      </w:r>
      <w:r w:rsidR="00084DD6">
        <w:rPr>
          <w:rFonts w:ascii="Calibri" w:hAnsi="Calibri" w:cs="Calibri"/>
          <w:sz w:val="22"/>
          <w:szCs w:val="22"/>
        </w:rPr>
        <w:t>8</w:t>
      </w:r>
      <w:r w:rsidR="00A66B46" w:rsidRPr="00A00EBE">
        <w:rPr>
          <w:rFonts w:ascii="Calibri" w:hAnsi="Calibri" w:cs="Calibri"/>
          <w:sz w:val="22"/>
          <w:szCs w:val="22"/>
        </w:rPr>
        <w:t>/0</w:t>
      </w:r>
      <w:r w:rsidR="002360B0">
        <w:rPr>
          <w:rFonts w:ascii="Calibri" w:hAnsi="Calibri" w:cs="Calibri"/>
          <w:sz w:val="22"/>
          <w:szCs w:val="22"/>
        </w:rPr>
        <w:t>6</w:t>
      </w:r>
      <w:r w:rsidR="00A66B46" w:rsidRPr="00A00EBE">
        <w:rPr>
          <w:rFonts w:ascii="Calibri" w:hAnsi="Calibri" w:cs="Calibri"/>
          <w:sz w:val="22"/>
          <w:szCs w:val="22"/>
        </w:rPr>
        <w:t>/2020</w:t>
      </w:r>
    </w:p>
    <w:sectPr w:rsidR="00783E6E" w:rsidRPr="00777439" w:rsidSect="004E62C8">
      <w:headerReference w:type="first" r:id="rId12"/>
      <w:footerReference w:type="first" r:id="rId13"/>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A2AA" w14:textId="77777777" w:rsidR="000E5391" w:rsidRDefault="000E5391">
      <w:r>
        <w:separator/>
      </w:r>
    </w:p>
  </w:endnote>
  <w:endnote w:type="continuationSeparator" w:id="0">
    <w:p w14:paraId="04B1C026" w14:textId="77777777" w:rsidR="000E5391" w:rsidRDefault="000E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06F1" w14:textId="77777777" w:rsidR="000E5391" w:rsidRDefault="000E5391">
      <w:r>
        <w:separator/>
      </w:r>
    </w:p>
  </w:footnote>
  <w:footnote w:type="continuationSeparator" w:id="0">
    <w:p w14:paraId="5C0475E4" w14:textId="77777777" w:rsidR="000E5391" w:rsidRDefault="000E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0E5391">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45pt;height:39.15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0"/>
  </w:num>
  <w:num w:numId="5">
    <w:abstractNumId w:val="2"/>
  </w:num>
  <w:num w:numId="6">
    <w:abstractNumId w:val="11"/>
  </w:num>
  <w:num w:numId="7">
    <w:abstractNumId w:val="14"/>
  </w:num>
  <w:num w:numId="8">
    <w:abstractNumId w:val="22"/>
  </w:num>
  <w:num w:numId="9">
    <w:abstractNumId w:val="25"/>
  </w:num>
  <w:num w:numId="10">
    <w:abstractNumId w:val="21"/>
  </w:num>
  <w:num w:numId="11">
    <w:abstractNumId w:val="12"/>
  </w:num>
  <w:num w:numId="12">
    <w:abstractNumId w:val="20"/>
  </w:num>
  <w:num w:numId="13">
    <w:abstractNumId w:val="5"/>
  </w:num>
  <w:num w:numId="14">
    <w:abstractNumId w:val="9"/>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7"/>
  </w:num>
  <w:num w:numId="22">
    <w:abstractNumId w:val="24"/>
  </w:num>
  <w:num w:numId="23">
    <w:abstractNumId w:val="13"/>
  </w:num>
  <w:num w:numId="24">
    <w:abstractNumId w:val="8"/>
  </w:num>
  <w:num w:numId="25">
    <w:abstractNumId w:val="4"/>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4DD6"/>
    <w:rsid w:val="00086200"/>
    <w:rsid w:val="00087150"/>
    <w:rsid w:val="0009085F"/>
    <w:rsid w:val="00091677"/>
    <w:rsid w:val="000B06C6"/>
    <w:rsid w:val="000B2103"/>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77E37"/>
    <w:rsid w:val="00385BAE"/>
    <w:rsid w:val="003944BF"/>
    <w:rsid w:val="00395392"/>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54840"/>
    <w:rsid w:val="00662EE8"/>
    <w:rsid w:val="00673C44"/>
    <w:rsid w:val="00684F34"/>
    <w:rsid w:val="00686CD4"/>
    <w:rsid w:val="0069445C"/>
    <w:rsid w:val="00696623"/>
    <w:rsid w:val="006A2CD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5D5A"/>
    <w:rsid w:val="008B5620"/>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A181B"/>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D789D"/>
    <w:rsid w:val="00FE3CA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ziaentrate.gov.it/portale/documents/20143/2522866/Circolare+14+del+6+giugno+2020_+Credito+Imposta+locazioni+DLRilancio+.pdf/06ca2faa-319d-f4dc-1b4b-0683e615213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genziaentrate.gov.it/portale/documents/20143/2522862/risoluzione+F24+art.+28+DL+Rilancio.pdf/0ba0d92f-f671-3b2b-8552-7555fa225a0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cini@confindustria.umbr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gnaroli@confindustria.umbria.it" TargetMode="External"/><Relationship Id="rId4" Type="http://schemas.openxmlformats.org/officeDocument/2006/relationships/webSettings" Target="webSettings.xml"/><Relationship Id="rId9" Type="http://schemas.openxmlformats.org/officeDocument/2006/relationships/hyperlink" Target="mailto:castagnino@confindustria.umbr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204</TotalTime>
  <Pages>2</Pages>
  <Words>678</Words>
  <Characters>3869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4538</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40</cp:revision>
  <cp:lastPrinted>2019-02-27T17:41:00Z</cp:lastPrinted>
  <dcterms:created xsi:type="dcterms:W3CDTF">2020-03-10T08:33:00Z</dcterms:created>
  <dcterms:modified xsi:type="dcterms:W3CDTF">2020-06-08T09:41:00Z</dcterms:modified>
</cp:coreProperties>
</file>