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C3F3C" w14:textId="1EFAFAB6" w:rsidR="00C24A9A" w:rsidRPr="00084DD6" w:rsidRDefault="000E5391" w:rsidP="00C24A9A">
      <w:pPr>
        <w:spacing w:after="150"/>
        <w:rPr>
          <w:rFonts w:ascii="Calibri" w:hAnsi="Calibri" w:cs="Calibri"/>
          <w:b/>
          <w:bCs/>
          <w:sz w:val="22"/>
          <w:szCs w:val="22"/>
        </w:rPr>
      </w:pPr>
      <w:r>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084DD6" w:rsidRPr="00084DD6">
        <w:rPr>
          <w:rFonts w:ascii="Calibri" w:hAnsi="Calibri" w:cs="Calibri"/>
          <w:b/>
          <w:bCs/>
          <w:sz w:val="22"/>
          <w:szCs w:val="22"/>
        </w:rPr>
        <w:t xml:space="preserve">DL Rilancio. </w:t>
      </w:r>
      <w:bookmarkStart w:id="0" w:name="_GoBack"/>
      <w:r w:rsidR="00084DD6" w:rsidRPr="00084DD6">
        <w:rPr>
          <w:rFonts w:ascii="Calibri" w:hAnsi="Calibri" w:cs="Calibri"/>
          <w:b/>
          <w:bCs/>
          <w:sz w:val="22"/>
          <w:szCs w:val="22"/>
        </w:rPr>
        <w:t>Credito d’imposta locazioni immobili ad uso non abitativo</w:t>
      </w:r>
    </w:p>
    <w:bookmarkEnd w:id="0"/>
    <w:p w14:paraId="1FA9DC30" w14:textId="62E76585" w:rsidR="00091677" w:rsidRDefault="00084DD6" w:rsidP="00270D53">
      <w:pPr>
        <w:rPr>
          <w:rFonts w:ascii="Calibri" w:hAnsi="Calibri" w:cs="Calibri"/>
          <w:color w:val="1C2024"/>
          <w:sz w:val="22"/>
          <w:szCs w:val="22"/>
        </w:rPr>
      </w:pPr>
      <w:r w:rsidRPr="00084DD6">
        <w:rPr>
          <w:rFonts w:ascii="Calibri" w:hAnsi="Calibri" w:cs="Calibri"/>
          <w:color w:val="1C2024"/>
          <w:sz w:val="22"/>
          <w:szCs w:val="22"/>
        </w:rPr>
        <w:t>Chiarimenti dell’Agenzia delle Entrate</w:t>
      </w:r>
    </w:p>
    <w:p w14:paraId="4D4FC193" w14:textId="016A987E" w:rsidR="00A029CB" w:rsidRDefault="00A029CB" w:rsidP="00270D53">
      <w:pPr>
        <w:rPr>
          <w:rFonts w:ascii="Calibri" w:hAnsi="Calibri" w:cs="Calibri"/>
          <w:color w:val="1C2024"/>
          <w:sz w:val="22"/>
          <w:szCs w:val="22"/>
        </w:rPr>
      </w:pPr>
    </w:p>
    <w:p w14:paraId="43597DB8" w14:textId="77777777" w:rsidR="00084DD6" w:rsidRPr="000E5391" w:rsidRDefault="00084DD6" w:rsidP="00084DD6">
      <w:pPr>
        <w:pStyle w:val="NormaleWeb"/>
        <w:spacing w:after="150"/>
        <w:rPr>
          <w:rFonts w:ascii="Calibri" w:hAnsi="Calibri" w:cs="Calibri Light"/>
          <w:sz w:val="22"/>
          <w:szCs w:val="22"/>
        </w:rPr>
      </w:pPr>
      <w:r w:rsidRPr="000E5391">
        <w:rPr>
          <w:rFonts w:ascii="Calibri" w:hAnsi="Calibri" w:cs="Calibri Light"/>
          <w:sz w:val="22"/>
          <w:szCs w:val="22"/>
        </w:rPr>
        <w:t xml:space="preserve">Dal 6 giugno è possibile utilizzare il credito d’imposta del 60 per cento del canone mensile per la locazione, il leasing o la concessione di immobili ad uso non abitativo destinati allo svolgimento di attività industriali, commerciali, artigianali, agricole. </w:t>
      </w:r>
    </w:p>
    <w:p w14:paraId="5B38C9FE" w14:textId="77777777" w:rsidR="00084DD6" w:rsidRPr="000E5391" w:rsidRDefault="00084DD6" w:rsidP="00084DD6">
      <w:pPr>
        <w:pStyle w:val="NormaleWeb"/>
        <w:spacing w:after="150"/>
        <w:rPr>
          <w:rFonts w:ascii="Calibri" w:hAnsi="Calibri" w:cs="Calibri Light"/>
          <w:sz w:val="22"/>
          <w:szCs w:val="22"/>
        </w:rPr>
      </w:pPr>
      <w:r w:rsidRPr="000E5391">
        <w:rPr>
          <w:rFonts w:ascii="Calibri" w:hAnsi="Calibri" w:cs="Calibri Light"/>
          <w:sz w:val="22"/>
          <w:szCs w:val="22"/>
        </w:rPr>
        <w:t xml:space="preserve">Lo rende noto l’Agenzia delle Entrate con la </w:t>
      </w:r>
      <w:hyperlink r:id="rId7" w:history="1">
        <w:r w:rsidRPr="000E5391">
          <w:rPr>
            <w:rStyle w:val="Collegamentoipertestuale"/>
            <w:rFonts w:ascii="Calibri" w:hAnsi="Calibri" w:cs="Calibri Light"/>
            <w:color w:val="auto"/>
            <w:sz w:val="22"/>
            <w:szCs w:val="22"/>
          </w:rPr>
          <w:t>Risoluz</w:t>
        </w:r>
        <w:r w:rsidRPr="000E5391">
          <w:rPr>
            <w:rStyle w:val="Collegamentoipertestuale"/>
            <w:rFonts w:ascii="Calibri" w:hAnsi="Calibri" w:cs="Calibri Light"/>
            <w:color w:val="auto"/>
            <w:sz w:val="22"/>
            <w:szCs w:val="22"/>
          </w:rPr>
          <w:t>i</w:t>
        </w:r>
        <w:r w:rsidRPr="000E5391">
          <w:rPr>
            <w:rStyle w:val="Collegamentoipertestuale"/>
            <w:rFonts w:ascii="Calibri" w:hAnsi="Calibri" w:cs="Calibri Light"/>
            <w:color w:val="auto"/>
            <w:sz w:val="22"/>
            <w:szCs w:val="22"/>
          </w:rPr>
          <w:t>one n. 32/E</w:t>
        </w:r>
      </w:hyperlink>
      <w:r w:rsidRPr="000E5391">
        <w:rPr>
          <w:rFonts w:ascii="Calibri" w:hAnsi="Calibri" w:cs="Calibri Light"/>
          <w:sz w:val="22"/>
          <w:szCs w:val="22"/>
        </w:rPr>
        <w:t xml:space="preserve"> che ha istituito il codice tributo “</w:t>
      </w:r>
      <w:r w:rsidRPr="000E5391">
        <w:rPr>
          <w:rFonts w:ascii="Calibri" w:hAnsi="Calibri" w:cs="Calibri Light"/>
          <w:b/>
          <w:bCs/>
          <w:sz w:val="22"/>
          <w:szCs w:val="22"/>
        </w:rPr>
        <w:t>6920</w:t>
      </w:r>
      <w:r w:rsidRPr="000E5391">
        <w:rPr>
          <w:rFonts w:ascii="Calibri" w:hAnsi="Calibri" w:cs="Calibri Light"/>
          <w:sz w:val="22"/>
          <w:szCs w:val="22"/>
        </w:rPr>
        <w:t xml:space="preserve">” che consente alle imprese la compensazione con modello F24, utilizzando i servizi telematici delle Entrate. È inoltre disponibile la </w:t>
      </w:r>
      <w:hyperlink r:id="rId8" w:history="1">
        <w:r w:rsidRPr="000E5391">
          <w:rPr>
            <w:rStyle w:val="Collegamentoipertestuale"/>
            <w:rFonts w:ascii="Calibri" w:hAnsi="Calibri" w:cs="Calibri Light"/>
            <w:color w:val="auto"/>
            <w:sz w:val="22"/>
            <w:szCs w:val="22"/>
          </w:rPr>
          <w:t>Circol</w:t>
        </w:r>
        <w:r w:rsidRPr="000E5391">
          <w:rPr>
            <w:rStyle w:val="Collegamentoipertestuale"/>
            <w:rFonts w:ascii="Calibri" w:hAnsi="Calibri" w:cs="Calibri Light"/>
            <w:color w:val="auto"/>
            <w:sz w:val="22"/>
            <w:szCs w:val="22"/>
          </w:rPr>
          <w:t>a</w:t>
        </w:r>
        <w:r w:rsidRPr="000E5391">
          <w:rPr>
            <w:rStyle w:val="Collegamentoipertestuale"/>
            <w:rFonts w:ascii="Calibri" w:hAnsi="Calibri" w:cs="Calibri Light"/>
            <w:color w:val="auto"/>
            <w:sz w:val="22"/>
            <w:szCs w:val="22"/>
          </w:rPr>
          <w:t>re n. 14/E</w:t>
        </w:r>
      </w:hyperlink>
      <w:r w:rsidRPr="000E5391">
        <w:rPr>
          <w:rFonts w:ascii="Calibri" w:hAnsi="Calibri" w:cs="Calibri Light"/>
          <w:sz w:val="22"/>
          <w:szCs w:val="22"/>
        </w:rPr>
        <w:t>, sempre del 6 giugno 2020, che fornisce i primi chiarimenti sull’utilizzo della misura agevolativa prevista dall’articolo 28 del decreto Rilancio. Dai requisiti per accedere sino alle modalità di fruizione del credito, il documento di prassi si sofferma anche sui beneficiari includendo anche i forfetari e gli enti non commerciali, compresi gli enti del terzo settore e gli enti religiosi civilmente riconosciuti, che svolgono attività istituzionale di interesse generale.</w:t>
      </w:r>
    </w:p>
    <w:p w14:paraId="2CAA006C" w14:textId="77777777" w:rsidR="00084DD6" w:rsidRPr="000E5391" w:rsidRDefault="00084DD6" w:rsidP="00084DD6">
      <w:pPr>
        <w:pStyle w:val="NormaleWeb"/>
        <w:spacing w:after="150"/>
        <w:rPr>
          <w:rFonts w:ascii="Calibri" w:hAnsi="Calibri" w:cs="Calibri Light"/>
          <w:sz w:val="22"/>
          <w:szCs w:val="22"/>
        </w:rPr>
      </w:pPr>
      <w:r w:rsidRPr="000E5391">
        <w:rPr>
          <w:rFonts w:ascii="Calibri" w:hAnsi="Calibri" w:cs="Calibri Light"/>
          <w:sz w:val="22"/>
          <w:szCs w:val="22"/>
        </w:rPr>
        <w:t xml:space="preserve">Il credito d’imposta è pari al </w:t>
      </w:r>
      <w:r w:rsidRPr="000E5391">
        <w:rPr>
          <w:rFonts w:ascii="Calibri" w:hAnsi="Calibri" w:cs="Calibri Light"/>
          <w:b/>
          <w:bCs/>
          <w:sz w:val="22"/>
          <w:szCs w:val="22"/>
        </w:rPr>
        <w:t>60 per cento</w:t>
      </w:r>
      <w:r w:rsidRPr="000E5391">
        <w:rPr>
          <w:rFonts w:ascii="Calibri" w:hAnsi="Calibri" w:cs="Calibri Light"/>
          <w:sz w:val="22"/>
          <w:szCs w:val="22"/>
        </w:rPr>
        <w:t xml:space="preserve"> del canone locazione degli immobili ad uso non abitativo e al </w:t>
      </w:r>
      <w:r w:rsidRPr="000E5391">
        <w:rPr>
          <w:rFonts w:ascii="Calibri" w:hAnsi="Calibri" w:cs="Calibri Light"/>
          <w:b/>
          <w:bCs/>
          <w:sz w:val="22"/>
          <w:szCs w:val="22"/>
        </w:rPr>
        <w:t>30 per cento</w:t>
      </w:r>
      <w:r w:rsidRPr="000E5391">
        <w:rPr>
          <w:rFonts w:ascii="Calibri" w:hAnsi="Calibri" w:cs="Calibri Light"/>
          <w:sz w:val="22"/>
          <w:szCs w:val="22"/>
        </w:rPr>
        <w:t xml:space="preserve"> del canone nei casi contratti di affitto d’azienda. L’importo da prendere a riferimento è quello versato nel periodo d’imposta 2020 per ciascuno dei mesi di marzo, aprile e maggio. È comunque necessario che il canone sia stato corrisposto. </w:t>
      </w:r>
    </w:p>
    <w:p w14:paraId="10DEFF56" w14:textId="77777777" w:rsidR="00084DD6" w:rsidRPr="000E5391" w:rsidRDefault="00084DD6" w:rsidP="00084DD6">
      <w:pPr>
        <w:pStyle w:val="NormaleWeb"/>
        <w:spacing w:after="150"/>
        <w:rPr>
          <w:rFonts w:ascii="Calibri" w:hAnsi="Calibri" w:cs="Calibri Light"/>
          <w:sz w:val="22"/>
          <w:szCs w:val="22"/>
        </w:rPr>
      </w:pPr>
      <w:r w:rsidRPr="000E5391">
        <w:rPr>
          <w:rFonts w:ascii="Calibri" w:hAnsi="Calibri" w:cs="Calibri Light"/>
          <w:sz w:val="22"/>
          <w:szCs w:val="22"/>
        </w:rPr>
        <w:t xml:space="preserve">Beneficia del credito d’imposta per canoni di locazione degli immobili a uso non abitativo e affitto d’azienda chi svolge attività d’impresa, arte o professione, con ricavi o compensi non superiori a </w:t>
      </w:r>
      <w:proofErr w:type="gramStart"/>
      <w:r w:rsidRPr="000E5391">
        <w:rPr>
          <w:rFonts w:ascii="Calibri" w:hAnsi="Calibri" w:cs="Calibri Light"/>
          <w:sz w:val="22"/>
          <w:szCs w:val="22"/>
        </w:rPr>
        <w:t>5</w:t>
      </w:r>
      <w:proofErr w:type="gramEnd"/>
      <w:r w:rsidRPr="000E5391">
        <w:rPr>
          <w:rFonts w:ascii="Calibri" w:hAnsi="Calibri" w:cs="Calibri Light"/>
          <w:sz w:val="22"/>
          <w:szCs w:val="22"/>
        </w:rPr>
        <w:t xml:space="preserve"> milioni di euro nel periodo d'imposta precedente a quello in corso alla data di entrata in vigore del decreto Rilancio. </w:t>
      </w:r>
    </w:p>
    <w:p w14:paraId="55F64063" w14:textId="77777777" w:rsidR="00084DD6" w:rsidRPr="000E5391" w:rsidRDefault="00084DD6" w:rsidP="00084DD6">
      <w:pPr>
        <w:pStyle w:val="NormaleWeb"/>
        <w:spacing w:after="150"/>
        <w:rPr>
          <w:rFonts w:ascii="Calibri" w:hAnsi="Calibri" w:cs="Calibri Light"/>
          <w:sz w:val="22"/>
          <w:szCs w:val="22"/>
        </w:rPr>
      </w:pPr>
      <w:r w:rsidRPr="000E5391">
        <w:rPr>
          <w:rFonts w:ascii="Calibri" w:hAnsi="Calibri" w:cs="Calibri Light"/>
          <w:sz w:val="22"/>
          <w:szCs w:val="22"/>
        </w:rPr>
        <w:t>Il credito di imposta è riconosciuto alle strutture alberghiere e agrituristiche a prescindere dal volume di ricavi e compensi registrato nel periodo d'imposta precedente. Si ritengono inclusi i forfetari e le imprese agricole. Sono inclusi anche coloro che svolgono un’attività alberghiera o agrituristica stagionale; in tal caso, i mesi da prendere a riferimento ai fini del credito d’imposta sono quelli relativi al pagamento dei canoni di aprile, maggio e giugno.</w:t>
      </w:r>
    </w:p>
    <w:p w14:paraId="6310EE01" w14:textId="77777777" w:rsidR="00084DD6" w:rsidRPr="000E5391" w:rsidRDefault="00084DD6" w:rsidP="00084DD6">
      <w:pPr>
        <w:pStyle w:val="NormaleWeb"/>
        <w:spacing w:after="150"/>
        <w:rPr>
          <w:rFonts w:ascii="Calibri" w:hAnsi="Calibri" w:cs="Calibri Light"/>
          <w:sz w:val="22"/>
          <w:szCs w:val="22"/>
        </w:rPr>
      </w:pPr>
      <w:r w:rsidRPr="000E5391">
        <w:rPr>
          <w:rFonts w:ascii="Calibri" w:hAnsi="Calibri" w:cs="Calibri Light"/>
          <w:sz w:val="22"/>
          <w:szCs w:val="22"/>
        </w:rPr>
        <w:t xml:space="preserve">Il credito d’imposta spetta a condizione che i soggetti esercenti attività economica abbiano subito una diminuzione del fatturato o dei corrispettivi in ciascuno dei mesi di marzo, aprile e maggio di almeno il cinquanta per cento rispetto allo stesso mese del periodo d’imposta precedente. Il calo del fatturato o dei corrispettivi deve essere verificato mese per mese. </w:t>
      </w:r>
    </w:p>
    <w:p w14:paraId="1B87869D" w14:textId="77777777" w:rsidR="00084DD6" w:rsidRPr="000E5391" w:rsidRDefault="00084DD6" w:rsidP="00084DD6">
      <w:pPr>
        <w:pStyle w:val="NormaleWeb"/>
        <w:spacing w:after="150"/>
        <w:rPr>
          <w:rFonts w:ascii="Calibri" w:hAnsi="Calibri" w:cs="Calibri Light"/>
          <w:sz w:val="22"/>
          <w:szCs w:val="22"/>
        </w:rPr>
      </w:pPr>
      <w:r w:rsidRPr="000E5391">
        <w:rPr>
          <w:rFonts w:ascii="Calibri" w:hAnsi="Calibri" w:cs="Calibri Light"/>
          <w:sz w:val="22"/>
          <w:szCs w:val="22"/>
        </w:rPr>
        <w:t>Il credito d’imposta è utilizzabile in compensazione, nella dichiarazione dei redditi relativa al periodo d’imposta di sostenimento della spesa; o, in alternativa può essere ceduto. La cessione può avvenire a favore del locatore o del concedente, oppure di altri soggetti, compresi istituti di credito e altri intermediari finanziari, con facoltà di successiva cessione del credito per questi ultimi. Le modalità attuative delle disposizioni relative alla cessione del credito d’imposta saranno definite nel provvedimento del direttore dell'Agenzia delle Entrate previsto per le altre misure emanate per fronteggiare l’emergenza da COVID-19.</w:t>
      </w:r>
    </w:p>
    <w:p w14:paraId="3943FE3E" w14:textId="77777777" w:rsidR="00084DD6" w:rsidRPr="000E5391" w:rsidRDefault="00084DD6" w:rsidP="00084DD6">
      <w:pPr>
        <w:pStyle w:val="NormaleWeb"/>
        <w:spacing w:after="150"/>
        <w:rPr>
          <w:rFonts w:ascii="Calibri" w:hAnsi="Calibri" w:cs="Calibri Light"/>
          <w:sz w:val="22"/>
          <w:szCs w:val="22"/>
        </w:rPr>
      </w:pPr>
      <w:r w:rsidRPr="000E5391">
        <w:rPr>
          <w:rFonts w:ascii="Calibri" w:hAnsi="Calibri" w:cs="Calibri Light"/>
          <w:sz w:val="22"/>
          <w:szCs w:val="22"/>
        </w:rPr>
        <w:t>Il credito è utilizzabile nella dichiarazione dei redditi relativa al periodo d’imposta di sostenimento della spesa oppure in compensazione successivamente all’avvenuto pagamento dei canoni. La compensazione avviene utilizzando il modello F24 da presentare esclusivamente attraverso i servizi telematici messi a disposizione dell’Agenzia delle Entrate e indicando il codice tributo “6920”.</w:t>
      </w:r>
    </w:p>
    <w:p w14:paraId="007D55C3" w14:textId="77777777" w:rsidR="00084DD6" w:rsidRPr="00084DD6" w:rsidRDefault="00084DD6" w:rsidP="00084DD6">
      <w:pPr>
        <w:pStyle w:val="NormaleWeb"/>
        <w:spacing w:after="150"/>
        <w:rPr>
          <w:rFonts w:ascii="Calibri Light" w:hAnsi="Calibri Light" w:cs="Calibri Light"/>
          <w:color w:val="1C2024"/>
          <w:sz w:val="22"/>
          <w:szCs w:val="22"/>
        </w:rPr>
      </w:pPr>
    </w:p>
    <w:p w14:paraId="21FD47BF" w14:textId="6BAF4EC4" w:rsidR="00091677" w:rsidRDefault="00091677" w:rsidP="008009D5">
      <w:pPr>
        <w:tabs>
          <w:tab w:val="left" w:pos="720"/>
          <w:tab w:val="left" w:pos="900"/>
          <w:tab w:val="left" w:pos="1260"/>
          <w:tab w:val="left" w:pos="5580"/>
          <w:tab w:val="left" w:pos="6120"/>
        </w:tabs>
        <w:ind w:right="-2"/>
        <w:rPr>
          <w:rFonts w:ascii="Calibri" w:hAnsi="Calibri" w:cs="Calibri"/>
          <w:b/>
          <w:bCs/>
          <w:sz w:val="22"/>
          <w:szCs w:val="22"/>
        </w:rPr>
      </w:pPr>
    </w:p>
    <w:p w14:paraId="3F6D970F" w14:textId="77777777" w:rsidR="00084DD6" w:rsidRDefault="00084DD6" w:rsidP="008009D5">
      <w:pPr>
        <w:tabs>
          <w:tab w:val="left" w:pos="720"/>
          <w:tab w:val="left" w:pos="900"/>
          <w:tab w:val="left" w:pos="1260"/>
          <w:tab w:val="left" w:pos="5580"/>
          <w:tab w:val="left" w:pos="6120"/>
        </w:tabs>
        <w:ind w:right="-2"/>
        <w:rPr>
          <w:rFonts w:ascii="Calibri" w:hAnsi="Calibri" w:cs="Calibri"/>
          <w:b/>
          <w:bCs/>
          <w:sz w:val="22"/>
          <w:szCs w:val="22"/>
        </w:rPr>
      </w:pPr>
    </w:p>
    <w:p w14:paraId="7C7AA374" w14:textId="49216A71"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9"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proofErr w:type="gramStart"/>
      <w:r w:rsidRPr="00A82347">
        <w:rPr>
          <w:rFonts w:ascii="Calibri" w:hAnsi="Calibri" w:cs="Calibri"/>
          <w:sz w:val="22"/>
          <w:szCs w:val="22"/>
        </w:rPr>
        <w:t>Email</w:t>
      </w:r>
      <w:proofErr w:type="gramEnd"/>
      <w:r w:rsidRPr="00A82347">
        <w:rPr>
          <w:rFonts w:ascii="Calibri" w:hAnsi="Calibri" w:cs="Calibri"/>
          <w:sz w:val="22"/>
          <w:szCs w:val="22"/>
        </w:rPr>
        <w:t xml:space="preserve">: </w:t>
      </w:r>
      <w:hyperlink r:id="rId10" w:history="1">
        <w:r w:rsidRPr="00A82347">
          <w:rPr>
            <w:rFonts w:ascii="Calibri" w:hAnsi="Calibri" w:cs="Calibri"/>
            <w:color w:val="0000FF"/>
            <w:sz w:val="22"/>
            <w:szCs w:val="22"/>
            <w:u w:val="single"/>
          </w:rPr>
          <w:t>vignaroli@confindustria.umbria.it</w:t>
        </w:r>
      </w:hyperlink>
      <w:r w:rsidRPr="00A82347">
        <w:rPr>
          <w:rFonts w:ascii="Calibri" w:hAnsi="Calibri" w:cs="Calibri"/>
          <w:sz w:val="22"/>
          <w:szCs w:val="22"/>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proofErr w:type="gramStart"/>
      <w:r w:rsidRPr="00A82347">
        <w:rPr>
          <w:rFonts w:ascii="Calibri" w:hAnsi="Calibri" w:cs="Calibri"/>
          <w:sz w:val="22"/>
          <w:szCs w:val="22"/>
        </w:rPr>
        <w:t>Email</w:t>
      </w:r>
      <w:proofErr w:type="gramEnd"/>
      <w:r w:rsidRPr="00A82347">
        <w:rPr>
          <w:rFonts w:ascii="Calibri" w:hAnsi="Calibri" w:cs="Calibri"/>
          <w:sz w:val="22"/>
          <w:szCs w:val="22"/>
        </w:rPr>
        <w:t>: </w:t>
      </w:r>
      <w:hyperlink r:id="rId11"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777439"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777439"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311AC975" w:rsidR="00783E6E" w:rsidRPr="00777439" w:rsidRDefault="00952E48" w:rsidP="00D27A1C">
      <w:pPr>
        <w:tabs>
          <w:tab w:val="left" w:pos="720"/>
          <w:tab w:val="left" w:pos="900"/>
          <w:tab w:val="left" w:pos="1260"/>
          <w:tab w:val="left" w:pos="5580"/>
          <w:tab w:val="left" w:pos="6120"/>
        </w:tabs>
        <w:ind w:left="142" w:right="-2"/>
        <w:jc w:val="right"/>
        <w:rPr>
          <w:rFonts w:ascii="Calibri" w:hAnsi="Calibri" w:cs="Calibri"/>
          <w:sz w:val="22"/>
          <w:szCs w:val="22"/>
        </w:rPr>
      </w:pPr>
      <w:r w:rsidRPr="00A00EBE">
        <w:rPr>
          <w:rFonts w:ascii="Calibri" w:hAnsi="Calibri" w:cs="Calibri"/>
          <w:sz w:val="22"/>
          <w:szCs w:val="22"/>
        </w:rPr>
        <w:t xml:space="preserve">Pubblicato il </w:t>
      </w:r>
      <w:r w:rsidR="002360B0">
        <w:rPr>
          <w:rFonts w:ascii="Calibri" w:hAnsi="Calibri" w:cs="Calibri"/>
          <w:sz w:val="22"/>
          <w:szCs w:val="22"/>
        </w:rPr>
        <w:t>0</w:t>
      </w:r>
      <w:r w:rsidR="00084DD6">
        <w:rPr>
          <w:rFonts w:ascii="Calibri" w:hAnsi="Calibri" w:cs="Calibri"/>
          <w:sz w:val="22"/>
          <w:szCs w:val="22"/>
        </w:rPr>
        <w:t>8</w:t>
      </w:r>
      <w:r w:rsidR="00A66B46" w:rsidRPr="00A00EBE">
        <w:rPr>
          <w:rFonts w:ascii="Calibri" w:hAnsi="Calibri" w:cs="Calibri"/>
          <w:sz w:val="22"/>
          <w:szCs w:val="22"/>
        </w:rPr>
        <w:t>/0</w:t>
      </w:r>
      <w:r w:rsidR="002360B0">
        <w:rPr>
          <w:rFonts w:ascii="Calibri" w:hAnsi="Calibri" w:cs="Calibri"/>
          <w:sz w:val="22"/>
          <w:szCs w:val="22"/>
        </w:rPr>
        <w:t>6</w:t>
      </w:r>
      <w:r w:rsidR="00A66B46" w:rsidRPr="00A00EBE">
        <w:rPr>
          <w:rFonts w:ascii="Calibri" w:hAnsi="Calibri" w:cs="Calibri"/>
          <w:sz w:val="22"/>
          <w:szCs w:val="22"/>
        </w:rPr>
        <w:t>/2020</w:t>
      </w:r>
    </w:p>
    <w:sectPr w:rsidR="00783E6E" w:rsidRPr="00777439" w:rsidSect="004E62C8">
      <w:headerReference w:type="first" r:id="rId12"/>
      <w:footerReference w:type="first" r:id="rId13"/>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A2AA" w14:textId="77777777" w:rsidR="000E5391" w:rsidRDefault="000E5391">
      <w:r>
        <w:separator/>
      </w:r>
    </w:p>
  </w:endnote>
  <w:endnote w:type="continuationSeparator" w:id="0">
    <w:p w14:paraId="04B1C026" w14:textId="77777777" w:rsidR="000E5391" w:rsidRDefault="000E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utura LT Book">
    <w:altName w:val="Century Gothic"/>
    <w:panose1 w:val="02000504030000020003"/>
    <w:charset w:val="00"/>
    <w:family w:val="auto"/>
    <w:pitch w:val="variable"/>
    <w:sig w:usb0="00000003" w:usb1="00000000" w:usb2="00000000" w:usb3="00000000" w:csb0="00000001" w:csb1="00000000"/>
  </w:font>
  <w:font w:name="Futura LT Light">
    <w:altName w:val="Century Gothic"/>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06F1" w14:textId="77777777" w:rsidR="000E5391" w:rsidRDefault="000E5391">
      <w:r>
        <w:separator/>
      </w:r>
    </w:p>
  </w:footnote>
  <w:footnote w:type="continuationSeparator" w:id="0">
    <w:p w14:paraId="5C0475E4" w14:textId="77777777" w:rsidR="000E5391" w:rsidRDefault="000E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0E5391">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1.45pt;height:39.15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7"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0"/>
  </w:num>
  <w:num w:numId="5">
    <w:abstractNumId w:val="2"/>
  </w:num>
  <w:num w:numId="6">
    <w:abstractNumId w:val="11"/>
  </w:num>
  <w:num w:numId="7">
    <w:abstractNumId w:val="14"/>
  </w:num>
  <w:num w:numId="8">
    <w:abstractNumId w:val="22"/>
  </w:num>
  <w:num w:numId="9">
    <w:abstractNumId w:val="25"/>
  </w:num>
  <w:num w:numId="10">
    <w:abstractNumId w:val="21"/>
  </w:num>
  <w:num w:numId="11">
    <w:abstractNumId w:val="12"/>
  </w:num>
  <w:num w:numId="12">
    <w:abstractNumId w:val="20"/>
  </w:num>
  <w:num w:numId="13">
    <w:abstractNumId w:val="5"/>
  </w:num>
  <w:num w:numId="14">
    <w:abstractNumId w:val="9"/>
  </w:num>
  <w:num w:numId="15">
    <w:abstractNumId w:val="0"/>
  </w:num>
  <w:num w:numId="16">
    <w:abstractNumId w:val="3"/>
  </w:num>
  <w:num w:numId="17">
    <w:abstractNumId w:val="16"/>
  </w:num>
  <w:num w:numId="18">
    <w:abstractNumId w:val="1"/>
  </w:num>
  <w:num w:numId="19">
    <w:abstractNumId w:val="23"/>
  </w:num>
  <w:num w:numId="20">
    <w:abstractNumId w:val="17"/>
  </w:num>
  <w:num w:numId="21">
    <w:abstractNumId w:val="7"/>
  </w:num>
  <w:num w:numId="22">
    <w:abstractNumId w:val="24"/>
  </w:num>
  <w:num w:numId="23">
    <w:abstractNumId w:val="13"/>
  </w:num>
  <w:num w:numId="24">
    <w:abstractNumId w:val="8"/>
  </w:num>
  <w:num w:numId="25">
    <w:abstractNumId w:val="4"/>
  </w:num>
  <w:num w:numId="2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14F9"/>
    <w:rsid w:val="000625BE"/>
    <w:rsid w:val="000637F2"/>
    <w:rsid w:val="00080ADD"/>
    <w:rsid w:val="00084DD6"/>
    <w:rsid w:val="00086200"/>
    <w:rsid w:val="00087150"/>
    <w:rsid w:val="0009085F"/>
    <w:rsid w:val="00091677"/>
    <w:rsid w:val="000B06C6"/>
    <w:rsid w:val="000B2103"/>
    <w:rsid w:val="000C53BB"/>
    <w:rsid w:val="000D0123"/>
    <w:rsid w:val="000D36C6"/>
    <w:rsid w:val="000D4668"/>
    <w:rsid w:val="000D4ADA"/>
    <w:rsid w:val="000E38C9"/>
    <w:rsid w:val="000E5391"/>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EA6"/>
    <w:rsid w:val="001A46F2"/>
    <w:rsid w:val="001A61DB"/>
    <w:rsid w:val="001B0373"/>
    <w:rsid w:val="001B1366"/>
    <w:rsid w:val="001C016B"/>
    <w:rsid w:val="001C5C73"/>
    <w:rsid w:val="001D46AD"/>
    <w:rsid w:val="001D783D"/>
    <w:rsid w:val="001D7F3D"/>
    <w:rsid w:val="001E0909"/>
    <w:rsid w:val="001E1A02"/>
    <w:rsid w:val="001E720B"/>
    <w:rsid w:val="001F202A"/>
    <w:rsid w:val="001F3465"/>
    <w:rsid w:val="001F48AB"/>
    <w:rsid w:val="0020292B"/>
    <w:rsid w:val="00206722"/>
    <w:rsid w:val="00210ED4"/>
    <w:rsid w:val="002113BA"/>
    <w:rsid w:val="002166C4"/>
    <w:rsid w:val="002216DD"/>
    <w:rsid w:val="0022540F"/>
    <w:rsid w:val="00230989"/>
    <w:rsid w:val="002360B0"/>
    <w:rsid w:val="002375D8"/>
    <w:rsid w:val="00237B46"/>
    <w:rsid w:val="00242295"/>
    <w:rsid w:val="00254095"/>
    <w:rsid w:val="00262647"/>
    <w:rsid w:val="002650B4"/>
    <w:rsid w:val="002655A5"/>
    <w:rsid w:val="00265FD1"/>
    <w:rsid w:val="00267F8E"/>
    <w:rsid w:val="00270D53"/>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EE8"/>
    <w:rsid w:val="00326815"/>
    <w:rsid w:val="003347DC"/>
    <w:rsid w:val="0034265F"/>
    <w:rsid w:val="00363BF8"/>
    <w:rsid w:val="00377E37"/>
    <w:rsid w:val="00385BAE"/>
    <w:rsid w:val="003944BF"/>
    <w:rsid w:val="00395392"/>
    <w:rsid w:val="003A759E"/>
    <w:rsid w:val="003B6D95"/>
    <w:rsid w:val="003B7ED2"/>
    <w:rsid w:val="003C19FB"/>
    <w:rsid w:val="003E5874"/>
    <w:rsid w:val="0041047E"/>
    <w:rsid w:val="0041177C"/>
    <w:rsid w:val="0042052A"/>
    <w:rsid w:val="004353E3"/>
    <w:rsid w:val="004414A4"/>
    <w:rsid w:val="00442812"/>
    <w:rsid w:val="004435C3"/>
    <w:rsid w:val="00445DF1"/>
    <w:rsid w:val="00454209"/>
    <w:rsid w:val="00465747"/>
    <w:rsid w:val="00472D2B"/>
    <w:rsid w:val="00474ADE"/>
    <w:rsid w:val="00483E55"/>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15FE"/>
    <w:rsid w:val="00565BA4"/>
    <w:rsid w:val="00570DF9"/>
    <w:rsid w:val="00571AA5"/>
    <w:rsid w:val="00580D22"/>
    <w:rsid w:val="005952A0"/>
    <w:rsid w:val="005A2FBD"/>
    <w:rsid w:val="005A6420"/>
    <w:rsid w:val="005A68AC"/>
    <w:rsid w:val="005B68CD"/>
    <w:rsid w:val="005C488C"/>
    <w:rsid w:val="005D2783"/>
    <w:rsid w:val="005D3F4A"/>
    <w:rsid w:val="005D58C7"/>
    <w:rsid w:val="005E05F4"/>
    <w:rsid w:val="005E29D1"/>
    <w:rsid w:val="005E2A6A"/>
    <w:rsid w:val="005E5E6F"/>
    <w:rsid w:val="005E694F"/>
    <w:rsid w:val="005F136F"/>
    <w:rsid w:val="00600B26"/>
    <w:rsid w:val="00606C5A"/>
    <w:rsid w:val="0061424A"/>
    <w:rsid w:val="00617528"/>
    <w:rsid w:val="00633A04"/>
    <w:rsid w:val="00635558"/>
    <w:rsid w:val="006370DF"/>
    <w:rsid w:val="006411A6"/>
    <w:rsid w:val="006411DF"/>
    <w:rsid w:val="00654840"/>
    <w:rsid w:val="00662EE8"/>
    <w:rsid w:val="00673C44"/>
    <w:rsid w:val="00684F34"/>
    <w:rsid w:val="00686CD4"/>
    <w:rsid w:val="0069445C"/>
    <w:rsid w:val="00696623"/>
    <w:rsid w:val="006A2CD6"/>
    <w:rsid w:val="006C0F54"/>
    <w:rsid w:val="006C5530"/>
    <w:rsid w:val="006C6827"/>
    <w:rsid w:val="006D0A9E"/>
    <w:rsid w:val="006D187D"/>
    <w:rsid w:val="006E4E22"/>
    <w:rsid w:val="006E64CC"/>
    <w:rsid w:val="006E71D6"/>
    <w:rsid w:val="006F3D2C"/>
    <w:rsid w:val="006F4A89"/>
    <w:rsid w:val="007006D5"/>
    <w:rsid w:val="00706997"/>
    <w:rsid w:val="00710780"/>
    <w:rsid w:val="007120A3"/>
    <w:rsid w:val="007212D6"/>
    <w:rsid w:val="00721719"/>
    <w:rsid w:val="007248A8"/>
    <w:rsid w:val="00724906"/>
    <w:rsid w:val="007268E0"/>
    <w:rsid w:val="007278BF"/>
    <w:rsid w:val="00727E86"/>
    <w:rsid w:val="00730857"/>
    <w:rsid w:val="007336E8"/>
    <w:rsid w:val="00744DE8"/>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200"/>
    <w:rsid w:val="007F7D2A"/>
    <w:rsid w:val="008009D5"/>
    <w:rsid w:val="00801AE3"/>
    <w:rsid w:val="0080382C"/>
    <w:rsid w:val="008050CE"/>
    <w:rsid w:val="00812C76"/>
    <w:rsid w:val="00814B6A"/>
    <w:rsid w:val="0082055D"/>
    <w:rsid w:val="00827AA4"/>
    <w:rsid w:val="0083206A"/>
    <w:rsid w:val="008324D4"/>
    <w:rsid w:val="00842CAC"/>
    <w:rsid w:val="00846546"/>
    <w:rsid w:val="0089242A"/>
    <w:rsid w:val="00895D5A"/>
    <w:rsid w:val="008B5620"/>
    <w:rsid w:val="008C21F3"/>
    <w:rsid w:val="008C6FB9"/>
    <w:rsid w:val="008D047B"/>
    <w:rsid w:val="008E4D83"/>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A181B"/>
    <w:rsid w:val="009A600B"/>
    <w:rsid w:val="009B370B"/>
    <w:rsid w:val="009B6DA0"/>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CB"/>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073"/>
    <w:rsid w:val="00A66B46"/>
    <w:rsid w:val="00A72245"/>
    <w:rsid w:val="00A7325D"/>
    <w:rsid w:val="00A874BE"/>
    <w:rsid w:val="00A92403"/>
    <w:rsid w:val="00AA755B"/>
    <w:rsid w:val="00AA7A03"/>
    <w:rsid w:val="00AB5961"/>
    <w:rsid w:val="00AC09F6"/>
    <w:rsid w:val="00AC0DA4"/>
    <w:rsid w:val="00AC1A58"/>
    <w:rsid w:val="00AC363E"/>
    <w:rsid w:val="00AD53C0"/>
    <w:rsid w:val="00AD6736"/>
    <w:rsid w:val="00AE3B49"/>
    <w:rsid w:val="00AE4116"/>
    <w:rsid w:val="00AE4612"/>
    <w:rsid w:val="00AE484B"/>
    <w:rsid w:val="00AE7C4C"/>
    <w:rsid w:val="00AF1207"/>
    <w:rsid w:val="00AF303A"/>
    <w:rsid w:val="00AF4404"/>
    <w:rsid w:val="00AF4D79"/>
    <w:rsid w:val="00AF6300"/>
    <w:rsid w:val="00B1385A"/>
    <w:rsid w:val="00B27B4F"/>
    <w:rsid w:val="00B27DA0"/>
    <w:rsid w:val="00B34B96"/>
    <w:rsid w:val="00B44EC6"/>
    <w:rsid w:val="00B55997"/>
    <w:rsid w:val="00B56F41"/>
    <w:rsid w:val="00B74B3D"/>
    <w:rsid w:val="00B90950"/>
    <w:rsid w:val="00B954F6"/>
    <w:rsid w:val="00B9787B"/>
    <w:rsid w:val="00B97A78"/>
    <w:rsid w:val="00BA3F4B"/>
    <w:rsid w:val="00BA6BD6"/>
    <w:rsid w:val="00BA7B76"/>
    <w:rsid w:val="00BB7D4D"/>
    <w:rsid w:val="00BC0691"/>
    <w:rsid w:val="00BC32D4"/>
    <w:rsid w:val="00BC4801"/>
    <w:rsid w:val="00BC5242"/>
    <w:rsid w:val="00BD0AB9"/>
    <w:rsid w:val="00BD3C2C"/>
    <w:rsid w:val="00BD60DB"/>
    <w:rsid w:val="00BE3C2A"/>
    <w:rsid w:val="00C10A7A"/>
    <w:rsid w:val="00C13B4C"/>
    <w:rsid w:val="00C24A9A"/>
    <w:rsid w:val="00C27714"/>
    <w:rsid w:val="00C433AC"/>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E72E8"/>
    <w:rsid w:val="00DF5163"/>
    <w:rsid w:val="00DF7579"/>
    <w:rsid w:val="00E00F2C"/>
    <w:rsid w:val="00E07BDC"/>
    <w:rsid w:val="00E20570"/>
    <w:rsid w:val="00E209CB"/>
    <w:rsid w:val="00E25D34"/>
    <w:rsid w:val="00E273B4"/>
    <w:rsid w:val="00E31E8B"/>
    <w:rsid w:val="00E36D39"/>
    <w:rsid w:val="00E44B8E"/>
    <w:rsid w:val="00E47D5B"/>
    <w:rsid w:val="00E5260E"/>
    <w:rsid w:val="00E56C4C"/>
    <w:rsid w:val="00E71CEB"/>
    <w:rsid w:val="00E74979"/>
    <w:rsid w:val="00E8356D"/>
    <w:rsid w:val="00E906B5"/>
    <w:rsid w:val="00E909DF"/>
    <w:rsid w:val="00EA4465"/>
    <w:rsid w:val="00EA5B17"/>
    <w:rsid w:val="00EB1B2C"/>
    <w:rsid w:val="00EB5F34"/>
    <w:rsid w:val="00EB6196"/>
    <w:rsid w:val="00EC0D5D"/>
    <w:rsid w:val="00EC1013"/>
    <w:rsid w:val="00EC3D1F"/>
    <w:rsid w:val="00ED1726"/>
    <w:rsid w:val="00ED2018"/>
    <w:rsid w:val="00ED2B9F"/>
    <w:rsid w:val="00ED6E2C"/>
    <w:rsid w:val="00ED7B1E"/>
    <w:rsid w:val="00EE18FB"/>
    <w:rsid w:val="00EE4876"/>
    <w:rsid w:val="00EE4CEA"/>
    <w:rsid w:val="00EF69AE"/>
    <w:rsid w:val="00F15475"/>
    <w:rsid w:val="00F169DE"/>
    <w:rsid w:val="00F23D65"/>
    <w:rsid w:val="00F31A89"/>
    <w:rsid w:val="00F32A75"/>
    <w:rsid w:val="00F33005"/>
    <w:rsid w:val="00F34EA1"/>
    <w:rsid w:val="00F4051C"/>
    <w:rsid w:val="00F4172D"/>
    <w:rsid w:val="00F4663F"/>
    <w:rsid w:val="00F51DA0"/>
    <w:rsid w:val="00F52882"/>
    <w:rsid w:val="00F53831"/>
    <w:rsid w:val="00F53938"/>
    <w:rsid w:val="00F53F66"/>
    <w:rsid w:val="00F60480"/>
    <w:rsid w:val="00F623AC"/>
    <w:rsid w:val="00F804E0"/>
    <w:rsid w:val="00F80976"/>
    <w:rsid w:val="00F81262"/>
    <w:rsid w:val="00F81771"/>
    <w:rsid w:val="00F9163B"/>
    <w:rsid w:val="00F920E8"/>
    <w:rsid w:val="00F94CCF"/>
    <w:rsid w:val="00FA4B03"/>
    <w:rsid w:val="00FA52B2"/>
    <w:rsid w:val="00FC5166"/>
    <w:rsid w:val="00FC53D5"/>
    <w:rsid w:val="00FC6664"/>
    <w:rsid w:val="00FD401E"/>
    <w:rsid w:val="00FD4772"/>
    <w:rsid w:val="00FD789D"/>
    <w:rsid w:val="00FE3CA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entrate.gov.it/portale/documents/20143/2522866/Circolare+14+del+6+giugno+2020_+Credito+Imposta+locazioni+DLRilancio+.pdf/06ca2faa-319d-f4dc-1b4b-0683e615213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genziaentrate.gov.it/portale/documents/20143/2522862/risoluzione+F24+art.+28+DL+Rilancio.pdf/0ba0d92f-f671-3b2b-8552-7555fa225a0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cini@confindustria.umbr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gnaroli@confindustria.umbria.it" TargetMode="External"/><Relationship Id="rId4" Type="http://schemas.openxmlformats.org/officeDocument/2006/relationships/webSettings" Target="webSettings.xml"/><Relationship Id="rId9" Type="http://schemas.openxmlformats.org/officeDocument/2006/relationships/hyperlink" Target="mailto:castagnino@confindustria.umbr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204</TotalTime>
  <Pages>2</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4538</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Chiara Santilli</cp:lastModifiedBy>
  <cp:revision>40</cp:revision>
  <cp:lastPrinted>2019-02-27T17:41:00Z</cp:lastPrinted>
  <dcterms:created xsi:type="dcterms:W3CDTF">2020-03-10T08:33:00Z</dcterms:created>
  <dcterms:modified xsi:type="dcterms:W3CDTF">2020-06-08T09:41:00Z</dcterms:modified>
</cp:coreProperties>
</file>