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13049" w14:textId="460B971D" w:rsidR="00A50EF0" w:rsidRPr="00A50EF0" w:rsidRDefault="00952E48" w:rsidP="00A50EF0">
      <w:pPr>
        <w:pStyle w:val="Rientrocorpodeltesto"/>
        <w:ind w:left="142"/>
        <w:rPr>
          <w:rFonts w:asciiTheme="minorHAnsi" w:hAnsiTheme="minorHAnsi" w:cs="Arial"/>
          <w:b/>
          <w:bCs/>
          <w:szCs w:val="22"/>
        </w:rPr>
      </w:pPr>
      <w:r w:rsidRPr="00A50EF0">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A2BA"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A50EF0" w:rsidRPr="00A50EF0">
        <w:rPr>
          <w:rFonts w:asciiTheme="minorHAnsi" w:hAnsiTheme="minorHAnsi" w:cs="Arial"/>
          <w:b/>
          <w:bCs/>
          <w:szCs w:val="22"/>
        </w:rPr>
        <w:t>Recepimento Direttiva ETS</w:t>
      </w:r>
    </w:p>
    <w:p w14:paraId="02099E53" w14:textId="77777777" w:rsidR="00A50EF0" w:rsidRPr="00A50EF0" w:rsidRDefault="00A50EF0" w:rsidP="00A50EF0">
      <w:pPr>
        <w:pStyle w:val="Rientrocorpodeltesto"/>
        <w:ind w:left="142"/>
        <w:rPr>
          <w:rFonts w:asciiTheme="minorHAnsi" w:hAnsiTheme="minorHAnsi" w:cs="Arial"/>
          <w:szCs w:val="22"/>
        </w:rPr>
      </w:pPr>
    </w:p>
    <w:p w14:paraId="07165B2E" w14:textId="2560E443" w:rsidR="00A50EF0" w:rsidRPr="00A50EF0" w:rsidRDefault="00EE1178" w:rsidP="00A50EF0">
      <w:pPr>
        <w:ind w:left="142"/>
        <w:jc w:val="both"/>
        <w:rPr>
          <w:rFonts w:asciiTheme="minorHAnsi" w:hAnsiTheme="minorHAnsi" w:cs="Arial"/>
          <w:sz w:val="22"/>
          <w:szCs w:val="22"/>
        </w:rPr>
      </w:pPr>
      <w:r>
        <w:rPr>
          <w:rFonts w:asciiTheme="minorHAnsi" w:hAnsiTheme="minorHAnsi" w:cs="Arial"/>
          <w:sz w:val="22"/>
          <w:szCs w:val="22"/>
        </w:rPr>
        <w:t xml:space="preserve">Pubblicato il </w:t>
      </w:r>
      <w:r w:rsidR="00A50EF0" w:rsidRPr="00A50EF0">
        <w:rPr>
          <w:rFonts w:asciiTheme="minorHAnsi" w:hAnsiTheme="minorHAnsi" w:cs="Arial"/>
          <w:sz w:val="22"/>
          <w:szCs w:val="22"/>
        </w:rPr>
        <w:t>Decreto legislativo 9 giugno 2020, n. 47</w:t>
      </w:r>
    </w:p>
    <w:p w14:paraId="7FB4B485" w14:textId="77777777" w:rsidR="00A50EF0" w:rsidRPr="00A50EF0" w:rsidRDefault="00A50EF0" w:rsidP="00A50EF0">
      <w:pPr>
        <w:ind w:left="142"/>
        <w:jc w:val="both"/>
        <w:rPr>
          <w:rFonts w:asciiTheme="minorHAnsi" w:hAnsiTheme="minorHAnsi" w:cs="Arial"/>
          <w:sz w:val="22"/>
          <w:szCs w:val="22"/>
        </w:rPr>
      </w:pPr>
    </w:p>
    <w:p w14:paraId="527E5717" w14:textId="77777777" w:rsidR="00A50EF0" w:rsidRPr="00A50EF0" w:rsidRDefault="00A50EF0" w:rsidP="00A50EF0">
      <w:pPr>
        <w:ind w:left="142"/>
        <w:jc w:val="both"/>
        <w:rPr>
          <w:rFonts w:asciiTheme="minorHAnsi" w:hAnsiTheme="minorHAnsi" w:cs="Arial"/>
          <w:sz w:val="22"/>
          <w:szCs w:val="22"/>
        </w:rPr>
      </w:pPr>
    </w:p>
    <w:p w14:paraId="53DFE219" w14:textId="4BAEF7DC" w:rsidR="00A50EF0" w:rsidRPr="00A50EF0" w:rsidRDefault="00473B3B" w:rsidP="00A50EF0">
      <w:pPr>
        <w:ind w:left="142"/>
        <w:jc w:val="both"/>
        <w:rPr>
          <w:rFonts w:asciiTheme="minorHAnsi" w:hAnsiTheme="minorHAnsi" w:cs="Calibri"/>
          <w:sz w:val="22"/>
          <w:szCs w:val="22"/>
        </w:rPr>
      </w:pPr>
      <w:r>
        <w:rPr>
          <w:rFonts w:asciiTheme="minorHAnsi" w:hAnsiTheme="minorHAnsi" w:cs="Arial"/>
          <w:sz w:val="22"/>
          <w:szCs w:val="22"/>
        </w:rPr>
        <w:t>Nell</w:t>
      </w:r>
      <w:r w:rsidR="00A50EF0" w:rsidRPr="00A50EF0">
        <w:rPr>
          <w:rFonts w:asciiTheme="minorHAnsi" w:hAnsiTheme="minorHAnsi" w:cs="Arial"/>
          <w:sz w:val="22"/>
          <w:szCs w:val="22"/>
        </w:rPr>
        <w:t>a Gazzetta Ufficiale n.</w:t>
      </w:r>
      <w:r>
        <w:rPr>
          <w:rFonts w:asciiTheme="minorHAnsi" w:hAnsiTheme="minorHAnsi" w:cs="Arial"/>
          <w:sz w:val="22"/>
          <w:szCs w:val="22"/>
        </w:rPr>
        <w:t xml:space="preserve"> </w:t>
      </w:r>
      <w:r w:rsidR="00A50EF0" w:rsidRPr="00A50EF0">
        <w:rPr>
          <w:rFonts w:asciiTheme="minorHAnsi" w:hAnsiTheme="minorHAnsi" w:cs="Arial"/>
          <w:sz w:val="22"/>
          <w:szCs w:val="22"/>
        </w:rPr>
        <w:t xml:space="preserve">146 del 10 giugno 2020 è stato pubblicato il decreto legislativo 9 giugno 2020, n. 47 (si veda </w:t>
      </w:r>
      <w:r w:rsidR="00A50EF0" w:rsidRPr="00BA7846">
        <w:rPr>
          <w:rFonts w:asciiTheme="minorHAnsi" w:hAnsiTheme="minorHAnsi" w:cs="Arial"/>
          <w:b/>
          <w:bCs/>
          <w:sz w:val="22"/>
          <w:szCs w:val="22"/>
        </w:rPr>
        <w:t>allegato</w:t>
      </w:r>
      <w:r w:rsidR="00A50EF0" w:rsidRPr="00A50EF0">
        <w:rPr>
          <w:rFonts w:asciiTheme="minorHAnsi" w:hAnsiTheme="minorHAnsi" w:cs="Arial"/>
          <w:sz w:val="22"/>
          <w:szCs w:val="22"/>
        </w:rPr>
        <w:t>) recante “</w:t>
      </w:r>
      <w:r w:rsidR="00A50EF0" w:rsidRPr="00A50EF0">
        <w:rPr>
          <w:rFonts w:asciiTheme="minorHAnsi" w:hAnsiTheme="minorHAnsi" w:cs="Arial"/>
          <w:i/>
          <w:iCs/>
          <w:sz w:val="22"/>
          <w:szCs w:val="22"/>
        </w:rPr>
        <w:t>Attuazione della direttiva (UE) 2018/410 del Parlamento europeo e del Consiglio del 14 marzo 2018, che modifica la direttiva 2003/87/CE per sostenere una riduzione delle emissioni più efficace sotto il profilo dei costi e promuovere investimenti a favore di basse emissioni di carbonio, nonché adeguamento della normativa nazionale alle disposizioni del regolamento (UE) 2017/2392 relativo alle attività di trasporto aereo e alla decisione (UE) 2015/1814 del Parlamento europeo e del Consiglio del 6 ottobre 2015 relativa all'istituzione e al funzionamento di una riserva stabilizzatrice del mercato</w:t>
      </w:r>
      <w:r w:rsidR="00A50EF0" w:rsidRPr="00A50EF0">
        <w:rPr>
          <w:rFonts w:asciiTheme="minorHAnsi" w:hAnsiTheme="minorHAnsi" w:cs="Arial"/>
          <w:sz w:val="22"/>
          <w:szCs w:val="22"/>
        </w:rPr>
        <w:t>”.</w:t>
      </w:r>
    </w:p>
    <w:p w14:paraId="4EF1C3A1" w14:textId="77777777" w:rsidR="00A50EF0" w:rsidRPr="00A50EF0" w:rsidRDefault="00A50EF0" w:rsidP="00A50EF0">
      <w:pPr>
        <w:ind w:left="142"/>
        <w:jc w:val="both"/>
        <w:rPr>
          <w:rFonts w:asciiTheme="minorHAnsi" w:hAnsiTheme="minorHAnsi"/>
          <w:sz w:val="22"/>
          <w:szCs w:val="22"/>
        </w:rPr>
      </w:pPr>
    </w:p>
    <w:p w14:paraId="38E27778" w14:textId="77777777" w:rsidR="00BA7846" w:rsidRDefault="00A50EF0" w:rsidP="00A50EF0">
      <w:pPr>
        <w:ind w:left="142"/>
        <w:jc w:val="both"/>
        <w:rPr>
          <w:rFonts w:asciiTheme="minorHAnsi" w:hAnsiTheme="minorHAnsi"/>
          <w:sz w:val="22"/>
          <w:szCs w:val="22"/>
        </w:rPr>
      </w:pPr>
      <w:r w:rsidRPr="00A50EF0">
        <w:rPr>
          <w:rFonts w:asciiTheme="minorHAnsi" w:hAnsiTheme="minorHAnsi"/>
          <w:sz w:val="22"/>
          <w:szCs w:val="22"/>
        </w:rPr>
        <w:t>Al riguardo, Confindustria ha comunicato quanto segue.</w:t>
      </w:r>
    </w:p>
    <w:p w14:paraId="2B09E17C" w14:textId="12679934" w:rsidR="00BA7846" w:rsidRDefault="00BA7846" w:rsidP="00A50EF0">
      <w:pPr>
        <w:ind w:left="142"/>
        <w:jc w:val="both"/>
        <w:rPr>
          <w:rFonts w:asciiTheme="minorHAnsi" w:hAnsiTheme="minorHAnsi"/>
          <w:sz w:val="22"/>
          <w:szCs w:val="22"/>
        </w:rPr>
      </w:pPr>
    </w:p>
    <w:p w14:paraId="2B6D110C" w14:textId="3D74C2C2" w:rsidR="00473B3B" w:rsidRDefault="00473B3B" w:rsidP="00473B3B">
      <w:pPr>
        <w:ind w:left="142"/>
        <w:jc w:val="center"/>
        <w:rPr>
          <w:rFonts w:asciiTheme="minorHAnsi" w:hAnsiTheme="minorHAnsi"/>
          <w:sz w:val="22"/>
          <w:szCs w:val="22"/>
        </w:rPr>
      </w:pPr>
      <w:r>
        <w:rPr>
          <w:rFonts w:asciiTheme="minorHAnsi" w:hAnsiTheme="minorHAnsi"/>
          <w:sz w:val="22"/>
          <w:szCs w:val="22"/>
        </w:rPr>
        <w:t>*     *     *     *     *</w:t>
      </w:r>
    </w:p>
    <w:p w14:paraId="64605511" w14:textId="77777777" w:rsidR="00473B3B" w:rsidRDefault="00473B3B" w:rsidP="00A50EF0">
      <w:pPr>
        <w:ind w:left="142"/>
        <w:jc w:val="both"/>
        <w:rPr>
          <w:rFonts w:asciiTheme="minorHAnsi" w:hAnsiTheme="minorHAnsi"/>
          <w:sz w:val="22"/>
          <w:szCs w:val="22"/>
        </w:rPr>
      </w:pPr>
    </w:p>
    <w:p w14:paraId="6D8C922F"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Il nuovo testo normativo, che si compone di  46 articoli e 4 allegati, </w:t>
      </w:r>
      <w:r w:rsidRPr="00A50EF0">
        <w:rPr>
          <w:rFonts w:asciiTheme="minorHAnsi" w:hAnsiTheme="minorHAnsi" w:cs="Arial"/>
          <w:b/>
          <w:bCs/>
          <w:sz w:val="22"/>
          <w:szCs w:val="22"/>
        </w:rPr>
        <w:t>entrerà in vigore il 25 giugno</w:t>
      </w:r>
      <w:r w:rsidRPr="00A50EF0">
        <w:rPr>
          <w:rFonts w:asciiTheme="minorHAnsi" w:hAnsiTheme="minorHAnsi" w:cs="Arial"/>
          <w:sz w:val="22"/>
          <w:szCs w:val="22"/>
        </w:rPr>
        <w:t> e, a decorrere dalla quella data, è da considerarsi abrogato il decreto legislativo 13 marzo 2013, n. 30, e successive modificazioni, ad eccezione dell’articolo 27, comma 2, primo periodo, relativo all’istituzione del “Fondo per la transizione energetica nel settore industriale”, mentre continuano ad applicarsi fino al 31 dicembre 2020, una serie di disposizioni ai sensi dell’art. 4 della nuova direttiva ETS.  Si chiarisce, inoltre, che la lista dei settori esposti a </w:t>
      </w:r>
      <w:r w:rsidRPr="00A50EF0">
        <w:rPr>
          <w:rFonts w:asciiTheme="minorHAnsi" w:hAnsiTheme="minorHAnsi" w:cs="Arial"/>
          <w:i/>
          <w:iCs/>
          <w:sz w:val="22"/>
          <w:szCs w:val="22"/>
        </w:rPr>
        <w:t>carbon </w:t>
      </w:r>
      <w:proofErr w:type="spellStart"/>
      <w:r w:rsidRPr="00A50EF0">
        <w:rPr>
          <w:rFonts w:asciiTheme="minorHAnsi" w:hAnsiTheme="minorHAnsi" w:cs="Arial"/>
          <w:i/>
          <w:iCs/>
          <w:sz w:val="22"/>
          <w:szCs w:val="22"/>
        </w:rPr>
        <w:t>leakage</w:t>
      </w:r>
      <w:proofErr w:type="spellEnd"/>
      <w:r w:rsidRPr="00A50EF0">
        <w:rPr>
          <w:rFonts w:asciiTheme="minorHAnsi" w:hAnsiTheme="minorHAnsi" w:cs="Arial"/>
          <w:sz w:val="22"/>
          <w:szCs w:val="22"/>
        </w:rPr>
        <w:t> ai sensi della decisione della Commissione 2014/746/UE, continua ad applicarsi fino al 31 dicembre 2020.</w:t>
      </w:r>
      <w:r w:rsidRPr="00A50EF0">
        <w:rPr>
          <w:rFonts w:asciiTheme="minorHAnsi" w:hAnsiTheme="minorHAnsi"/>
          <w:sz w:val="22"/>
          <w:szCs w:val="22"/>
        </w:rPr>
        <w:t xml:space="preserve"> </w:t>
      </w:r>
    </w:p>
    <w:p w14:paraId="6927EC1B"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Infine, per quel che riguarda il funzionamento del Comitato ETS, esso continua ad operare fino alla costituzione del nuovo Comitato ai sensi dell’art. 4 del decreto appena pubblicato, facendo salvi gli effetti dei provvedimenti adottati dallo stesso Comitato. </w:t>
      </w:r>
      <w:r w:rsidRPr="00A50EF0">
        <w:rPr>
          <w:rFonts w:asciiTheme="minorHAnsi" w:hAnsiTheme="minorHAnsi"/>
          <w:sz w:val="22"/>
          <w:szCs w:val="22"/>
        </w:rPr>
        <w:t xml:space="preserve"> </w:t>
      </w:r>
    </w:p>
    <w:p w14:paraId="1572AE93" w14:textId="77777777" w:rsidR="00BA7846" w:rsidRDefault="00BA7846" w:rsidP="00A50EF0">
      <w:pPr>
        <w:ind w:left="142"/>
        <w:jc w:val="both"/>
        <w:rPr>
          <w:rFonts w:asciiTheme="minorHAnsi" w:hAnsiTheme="minorHAnsi"/>
          <w:sz w:val="22"/>
          <w:szCs w:val="22"/>
        </w:rPr>
      </w:pPr>
    </w:p>
    <w:p w14:paraId="39146AE9"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Rispetto alla normativa precedente, cambia la definizione di </w:t>
      </w:r>
      <w:r w:rsidRPr="00A50EF0">
        <w:rPr>
          <w:rFonts w:asciiTheme="minorHAnsi" w:hAnsiTheme="minorHAnsi" w:cs="Arial"/>
          <w:b/>
          <w:bCs/>
          <w:sz w:val="22"/>
          <w:szCs w:val="22"/>
        </w:rPr>
        <w:t>“</w:t>
      </w:r>
      <w:r w:rsidRPr="00A50EF0">
        <w:rPr>
          <w:rFonts w:asciiTheme="minorHAnsi" w:hAnsiTheme="minorHAnsi" w:cs="Arial"/>
          <w:b/>
          <w:bCs/>
          <w:i/>
          <w:iCs/>
          <w:sz w:val="22"/>
          <w:szCs w:val="22"/>
        </w:rPr>
        <w:t>nuovo entrante</w:t>
      </w:r>
      <w:r w:rsidRPr="00A50EF0">
        <w:rPr>
          <w:rFonts w:asciiTheme="minorHAnsi" w:hAnsiTheme="minorHAnsi" w:cs="Arial"/>
          <w:b/>
          <w:bCs/>
          <w:sz w:val="22"/>
          <w:szCs w:val="22"/>
        </w:rPr>
        <w:t>”</w:t>
      </w:r>
      <w:r w:rsidRPr="00A50EF0">
        <w:rPr>
          <w:rFonts w:asciiTheme="minorHAnsi" w:hAnsiTheme="minorHAnsi" w:cs="Arial"/>
          <w:sz w:val="22"/>
          <w:szCs w:val="22"/>
        </w:rPr>
        <w:t> che non fa più riferimento a coloro che hanno ottenuto un'autorizzazione ad emettere gas serra per la prima volta dopo il 30 giugno 2011.  In tale categoria rientreranno invece coloro che la ottengono per la prima volta nel periodo che inizia da tre mesi prima della data di trasmissione da parte del Comitato alla Commissione europea dell'elenco quinquennale di impianti disciplinati dal provvedimento (di cui all'articolo 25), e termina tre mesi prima della data di trasmissione del successivo elenco quinquennale.  </w:t>
      </w:r>
      <w:r w:rsidRPr="00A50EF0">
        <w:rPr>
          <w:rFonts w:asciiTheme="minorHAnsi" w:hAnsiTheme="minorHAnsi"/>
          <w:sz w:val="22"/>
          <w:szCs w:val="22"/>
        </w:rPr>
        <w:t xml:space="preserve"> </w:t>
      </w:r>
    </w:p>
    <w:p w14:paraId="08CA1807" w14:textId="77777777" w:rsidR="00BA7846" w:rsidRDefault="00BA7846" w:rsidP="00A50EF0">
      <w:pPr>
        <w:ind w:left="142"/>
        <w:jc w:val="both"/>
        <w:rPr>
          <w:rFonts w:asciiTheme="minorHAnsi" w:hAnsiTheme="minorHAnsi"/>
          <w:sz w:val="22"/>
          <w:szCs w:val="22"/>
        </w:rPr>
      </w:pPr>
    </w:p>
    <w:p w14:paraId="2B38EC7F" w14:textId="0CE1CC8A"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Il Capo II, all'articolo 4, disciplina come detto il </w:t>
      </w:r>
      <w:r w:rsidRPr="00A50EF0">
        <w:rPr>
          <w:rFonts w:asciiTheme="minorHAnsi" w:hAnsiTheme="minorHAnsi" w:cs="Arial"/>
          <w:b/>
          <w:bCs/>
          <w:sz w:val="22"/>
          <w:szCs w:val="22"/>
        </w:rPr>
        <w:t>Comitato ETS</w:t>
      </w:r>
      <w:r w:rsidRPr="00A50EF0">
        <w:rPr>
          <w:rFonts w:asciiTheme="minorHAnsi" w:hAnsiTheme="minorHAnsi" w:cs="Arial"/>
          <w:sz w:val="22"/>
          <w:szCs w:val="22"/>
        </w:rPr>
        <w:t>, presso il Ministero dell'Ambiente, come autorità nazionale competente. Le principali modifiche riguardano la variazione dell'assetto organizzativo, che dovrebbe consentire al Comitato di operare in modo efficace e senza soluzione di continuità, anche attraverso la garanzia di un adeguato supporto specialistico (da parte delle proprie società in house e di ISPRA e, per le attività inerenti ai piccoli emettitori, da parte del GSE) e l'interconnessione con le Camere di commercio. </w:t>
      </w:r>
      <w:r w:rsidRPr="00A50EF0">
        <w:rPr>
          <w:rFonts w:asciiTheme="minorHAnsi" w:hAnsiTheme="minorHAnsi"/>
          <w:sz w:val="22"/>
          <w:szCs w:val="22"/>
        </w:rPr>
        <w:t xml:space="preserve"> </w:t>
      </w:r>
    </w:p>
    <w:p w14:paraId="3699A55A" w14:textId="77777777" w:rsidR="00BA7846" w:rsidRDefault="00BA7846" w:rsidP="00A50EF0">
      <w:pPr>
        <w:ind w:left="142"/>
        <w:jc w:val="both"/>
        <w:rPr>
          <w:rFonts w:asciiTheme="minorHAnsi" w:hAnsiTheme="minorHAnsi"/>
          <w:sz w:val="22"/>
          <w:szCs w:val="22"/>
        </w:rPr>
      </w:pPr>
    </w:p>
    <w:p w14:paraId="1C9882D6"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Il Capo IV riproduce le procedure relative agli </w:t>
      </w:r>
      <w:r w:rsidRPr="00A50EF0">
        <w:rPr>
          <w:rFonts w:asciiTheme="minorHAnsi" w:hAnsiTheme="minorHAnsi" w:cs="Arial"/>
          <w:b/>
          <w:bCs/>
          <w:sz w:val="22"/>
          <w:szCs w:val="22"/>
        </w:rPr>
        <w:t>impianti fissi compresi nel regime ETS</w:t>
      </w:r>
      <w:r w:rsidRPr="00A50EF0">
        <w:rPr>
          <w:rFonts w:asciiTheme="minorHAnsi" w:hAnsiTheme="minorHAnsi" w:cs="Arial"/>
          <w:sz w:val="22"/>
          <w:szCs w:val="22"/>
        </w:rPr>
        <w:t>, compresa la possibilità per il Comitato di includere nello scambio di quote altre attività e/o gas ad effetto serra non elencati nell'allegato I. </w:t>
      </w:r>
      <w:r w:rsidRPr="00A50EF0">
        <w:rPr>
          <w:rFonts w:asciiTheme="minorHAnsi" w:hAnsiTheme="minorHAnsi"/>
          <w:sz w:val="22"/>
          <w:szCs w:val="22"/>
        </w:rPr>
        <w:t xml:space="preserve"> </w:t>
      </w:r>
    </w:p>
    <w:p w14:paraId="1B1419B9"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lastRenderedPageBreak/>
        <w:t>In particolare, l'articolo 23 disciplina </w:t>
      </w:r>
      <w:r w:rsidRPr="00A50EF0">
        <w:rPr>
          <w:rFonts w:asciiTheme="minorHAnsi" w:hAnsiTheme="minorHAnsi" w:cs="Arial"/>
          <w:b/>
          <w:bCs/>
          <w:sz w:val="22"/>
          <w:szCs w:val="22"/>
        </w:rPr>
        <w:t>la vendita all'asta delle quote di CO</w:t>
      </w:r>
      <w:r w:rsidRPr="00A50EF0">
        <w:rPr>
          <w:rFonts w:asciiTheme="minorHAnsi" w:hAnsiTheme="minorHAnsi" w:cs="Arial"/>
          <w:b/>
          <w:bCs/>
          <w:sz w:val="22"/>
          <w:szCs w:val="22"/>
          <w:vertAlign w:val="subscript"/>
        </w:rPr>
        <w:t>2</w:t>
      </w:r>
      <w:r w:rsidRPr="00A50EF0">
        <w:rPr>
          <w:rFonts w:asciiTheme="minorHAnsi" w:hAnsiTheme="minorHAnsi" w:cs="Arial"/>
          <w:sz w:val="22"/>
          <w:szCs w:val="22"/>
        </w:rPr>
        <w:t>, nonché le modalità di ripartizione dei proventi tra i vari Ministeri e le relative finalità di spesa. In proposito viene confermato quanto previsto dal precedente testo normativo, vale a dire l'attribuzione del 50% dei proventi ai Ministeri dell'Ambiente e dello Sviluppo Economico e del restante 50% al Fondo per l'ammortamento dei titoli di Stato.  </w:t>
      </w:r>
      <w:r w:rsidRPr="00A50EF0">
        <w:rPr>
          <w:rFonts w:asciiTheme="minorHAnsi" w:hAnsiTheme="minorHAnsi"/>
          <w:sz w:val="22"/>
          <w:szCs w:val="22"/>
        </w:rPr>
        <w:t xml:space="preserve"> </w:t>
      </w:r>
    </w:p>
    <w:p w14:paraId="3D36F8EA" w14:textId="77777777" w:rsidR="00BA7846" w:rsidRDefault="00BA7846" w:rsidP="00A50EF0">
      <w:pPr>
        <w:ind w:left="142"/>
        <w:jc w:val="both"/>
        <w:rPr>
          <w:rFonts w:asciiTheme="minorHAnsi" w:hAnsiTheme="minorHAnsi"/>
          <w:sz w:val="22"/>
          <w:szCs w:val="22"/>
        </w:rPr>
      </w:pPr>
    </w:p>
    <w:p w14:paraId="78053B3C"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Inoltre, l'articolo 28 prevede che il Comitato determina e propone alla Commissione europea </w:t>
      </w:r>
      <w:r w:rsidRPr="00A50EF0">
        <w:rPr>
          <w:rFonts w:asciiTheme="minorHAnsi" w:hAnsiTheme="minorHAnsi" w:cs="Arial"/>
          <w:b/>
          <w:bCs/>
          <w:sz w:val="22"/>
          <w:szCs w:val="22"/>
        </w:rPr>
        <w:t>l'assegnazione di quote gratuite</w:t>
      </w:r>
      <w:r w:rsidRPr="00A50EF0">
        <w:rPr>
          <w:rFonts w:asciiTheme="minorHAnsi" w:hAnsiTheme="minorHAnsi" w:cs="Arial"/>
          <w:sz w:val="22"/>
          <w:szCs w:val="22"/>
        </w:rPr>
        <w:t> agli impianti compresi nella lista dei settori e sottosettori esposti ad un rischio elevato di rilocalizzazione delle emissioni di carbonio individuati con decisione delegata (UE) 2019/708, fermo restando il regime transitorio al 31 dicembre 2020 di cui si è dato già conto. Si tratta di una norma che sostanzialmente si limita ad aggiornare quella contenuta al comma 1 dell'articolo 27 del d.lgs. n. 30 del 2013.  </w:t>
      </w:r>
      <w:r w:rsidRPr="00A50EF0">
        <w:rPr>
          <w:rFonts w:asciiTheme="minorHAnsi" w:hAnsiTheme="minorHAnsi"/>
          <w:sz w:val="22"/>
          <w:szCs w:val="22"/>
        </w:rPr>
        <w:t xml:space="preserve"> </w:t>
      </w:r>
    </w:p>
    <w:p w14:paraId="528554E3" w14:textId="77777777" w:rsidR="00BA7846" w:rsidRDefault="00BA7846" w:rsidP="00A50EF0">
      <w:pPr>
        <w:ind w:left="142"/>
        <w:jc w:val="both"/>
        <w:rPr>
          <w:rFonts w:asciiTheme="minorHAnsi" w:hAnsiTheme="minorHAnsi"/>
          <w:sz w:val="22"/>
          <w:szCs w:val="22"/>
        </w:rPr>
      </w:pPr>
    </w:p>
    <w:p w14:paraId="474A3F70" w14:textId="77777777" w:rsidR="00BA7846" w:rsidRDefault="00A50EF0" w:rsidP="00A50EF0">
      <w:pPr>
        <w:ind w:left="142"/>
        <w:jc w:val="both"/>
        <w:rPr>
          <w:rFonts w:asciiTheme="minorHAnsi" w:hAnsiTheme="minorHAnsi"/>
          <w:sz w:val="22"/>
          <w:szCs w:val="22"/>
        </w:rPr>
      </w:pPr>
      <w:r w:rsidRPr="00A50EF0">
        <w:rPr>
          <w:rFonts w:asciiTheme="minorHAnsi" w:hAnsiTheme="minorHAnsi" w:cs="Arial"/>
          <w:sz w:val="22"/>
          <w:szCs w:val="22"/>
        </w:rPr>
        <w:t>Tuttavia, a tal proposito, è da segnalare che il provvedimento reca una criticità in ordine al “Fondo per la transizione energetica nel settore industriale”, di cui al sopracitato articolo 27, comma 2, il quale, volto a sostenere la transizione energetica di settori o di sottosettori considerati esposti a un rischio elevato di rilocalizzazione delle emissioni di carbonio a causa dei costi connessi alle emissioni di gas a effetto serra trasferiti sui prezzi dell'energia elettrica, decide però di dare priorità a interventi di riconversione sostenibili, caratterizzati da processi di decarbonizzazione che escludono l'utilizzo di ulteriori combustibili fossili diversi dal carbone, danneggiando quindi ingiustamente il combustibile gas. </w:t>
      </w:r>
      <w:r w:rsidRPr="00A50EF0">
        <w:rPr>
          <w:rFonts w:asciiTheme="minorHAnsi" w:hAnsiTheme="minorHAnsi"/>
          <w:sz w:val="22"/>
          <w:szCs w:val="22"/>
        </w:rPr>
        <w:t xml:space="preserve"> </w:t>
      </w:r>
    </w:p>
    <w:p w14:paraId="2BEADC91" w14:textId="438B8C91" w:rsidR="00A50EF0" w:rsidRPr="00A50EF0" w:rsidRDefault="00A50EF0" w:rsidP="00A50EF0">
      <w:pPr>
        <w:ind w:left="142"/>
        <w:jc w:val="both"/>
        <w:rPr>
          <w:rFonts w:asciiTheme="minorHAnsi" w:hAnsiTheme="minorHAnsi" w:cs="Arial"/>
          <w:sz w:val="22"/>
          <w:szCs w:val="22"/>
        </w:rPr>
      </w:pPr>
      <w:r w:rsidRPr="00A50EF0">
        <w:rPr>
          <w:rFonts w:asciiTheme="minorHAnsi" w:hAnsiTheme="minorHAnsi" w:cs="Arial"/>
          <w:sz w:val="22"/>
          <w:szCs w:val="22"/>
        </w:rPr>
        <w:t xml:space="preserve">A questo ultimo proposito, </w:t>
      </w:r>
      <w:r w:rsidR="004D53D3">
        <w:rPr>
          <w:rFonts w:asciiTheme="minorHAnsi" w:hAnsiTheme="minorHAnsi" w:cs="Arial"/>
          <w:sz w:val="22"/>
          <w:szCs w:val="22"/>
        </w:rPr>
        <w:t xml:space="preserve">Confindustria </w:t>
      </w:r>
      <w:r w:rsidRPr="00A50EF0">
        <w:rPr>
          <w:rFonts w:asciiTheme="minorHAnsi" w:hAnsiTheme="minorHAnsi" w:cs="Arial"/>
          <w:sz w:val="22"/>
          <w:szCs w:val="22"/>
        </w:rPr>
        <w:t xml:space="preserve">continuerà a lavorare con l'auspicio di risolvere la suddetta criticità. </w:t>
      </w:r>
    </w:p>
    <w:p w14:paraId="6C1C81C9" w14:textId="0C272384" w:rsidR="00A50EF0" w:rsidRDefault="00A50EF0" w:rsidP="00A50EF0">
      <w:pPr>
        <w:ind w:left="142"/>
        <w:jc w:val="both"/>
        <w:rPr>
          <w:rFonts w:asciiTheme="minorHAnsi" w:hAnsiTheme="minorHAnsi" w:cs="Arial"/>
          <w:sz w:val="22"/>
          <w:szCs w:val="22"/>
        </w:rPr>
      </w:pPr>
    </w:p>
    <w:p w14:paraId="30B17732" w14:textId="77777777" w:rsidR="00473B3B" w:rsidRDefault="00473B3B" w:rsidP="00473B3B">
      <w:pPr>
        <w:ind w:left="142"/>
        <w:jc w:val="center"/>
        <w:rPr>
          <w:rFonts w:asciiTheme="minorHAnsi" w:hAnsiTheme="minorHAnsi"/>
          <w:sz w:val="22"/>
          <w:szCs w:val="22"/>
        </w:rPr>
      </w:pPr>
      <w:r>
        <w:rPr>
          <w:rFonts w:asciiTheme="minorHAnsi" w:hAnsiTheme="minorHAnsi"/>
          <w:sz w:val="22"/>
          <w:szCs w:val="22"/>
        </w:rPr>
        <w:t>*     *     *     *     *</w:t>
      </w:r>
    </w:p>
    <w:p w14:paraId="500025A8" w14:textId="77777777" w:rsidR="00473B3B" w:rsidRPr="00A50EF0" w:rsidRDefault="00473B3B" w:rsidP="00A50EF0">
      <w:pPr>
        <w:ind w:left="142"/>
        <w:jc w:val="both"/>
        <w:rPr>
          <w:rFonts w:asciiTheme="minorHAnsi" w:hAnsiTheme="minorHAnsi" w:cs="Arial"/>
          <w:sz w:val="22"/>
          <w:szCs w:val="22"/>
        </w:rPr>
      </w:pPr>
    </w:p>
    <w:p w14:paraId="1CABF76E" w14:textId="482F278D" w:rsidR="00A50EF0" w:rsidRPr="00A50EF0" w:rsidRDefault="00A50EF0" w:rsidP="00A50EF0">
      <w:pPr>
        <w:ind w:left="142"/>
        <w:jc w:val="both"/>
        <w:rPr>
          <w:rFonts w:asciiTheme="minorHAnsi" w:hAnsiTheme="minorHAnsi" w:cs="Calibri"/>
          <w:color w:val="44546A"/>
          <w:sz w:val="22"/>
          <w:szCs w:val="22"/>
          <w:lang w:eastAsia="en-US"/>
        </w:rPr>
      </w:pPr>
      <w:r w:rsidRPr="00A50EF0">
        <w:rPr>
          <w:rFonts w:asciiTheme="minorHAnsi" w:hAnsiTheme="minorHAnsi" w:cs="Arial"/>
          <w:sz w:val="22"/>
          <w:szCs w:val="22"/>
        </w:rPr>
        <w:t>Si rinvia alla lettura del decreto in esame e si rimane a disposizione per ogni appr</w:t>
      </w:r>
      <w:r w:rsidR="00BA7846">
        <w:rPr>
          <w:rFonts w:asciiTheme="minorHAnsi" w:hAnsiTheme="minorHAnsi" w:cs="Arial"/>
          <w:sz w:val="22"/>
          <w:szCs w:val="22"/>
        </w:rPr>
        <w:t>o</w:t>
      </w:r>
      <w:r w:rsidRPr="00A50EF0">
        <w:rPr>
          <w:rFonts w:asciiTheme="minorHAnsi" w:hAnsiTheme="minorHAnsi" w:cs="Arial"/>
          <w:sz w:val="22"/>
          <w:szCs w:val="22"/>
        </w:rPr>
        <w:t>fondimento</w:t>
      </w:r>
      <w:r w:rsidR="00BA7846">
        <w:rPr>
          <w:rFonts w:asciiTheme="minorHAnsi" w:hAnsiTheme="minorHAnsi" w:cs="Arial"/>
          <w:sz w:val="22"/>
          <w:szCs w:val="22"/>
        </w:rPr>
        <w:t>.</w:t>
      </w:r>
    </w:p>
    <w:p w14:paraId="5747525F" w14:textId="662FEB23" w:rsidR="00452023" w:rsidRPr="00A50EF0" w:rsidRDefault="00452023" w:rsidP="00A50EF0">
      <w:pPr>
        <w:pStyle w:val="Rientrocorpodeltesto"/>
        <w:ind w:left="142"/>
        <w:rPr>
          <w:rFonts w:asciiTheme="minorHAnsi" w:hAnsiTheme="minorHAnsi" w:cs="Tahoma"/>
          <w:b/>
          <w:szCs w:val="22"/>
        </w:rPr>
      </w:pPr>
    </w:p>
    <w:p w14:paraId="575C9BBE" w14:textId="1748740A" w:rsidR="00452023" w:rsidRDefault="00452023" w:rsidP="00A50EF0">
      <w:pPr>
        <w:pStyle w:val="Rientrocorpodeltesto"/>
        <w:ind w:left="142"/>
        <w:rPr>
          <w:rFonts w:asciiTheme="minorHAnsi" w:hAnsiTheme="minorHAnsi" w:cs="Tahoma"/>
          <w:b/>
          <w:szCs w:val="22"/>
        </w:rPr>
      </w:pPr>
    </w:p>
    <w:p w14:paraId="51986F16" w14:textId="5FEA8C76" w:rsidR="00C20262" w:rsidRDefault="00C20262" w:rsidP="00A50EF0">
      <w:pPr>
        <w:pStyle w:val="Rientrocorpodeltesto"/>
        <w:ind w:left="142"/>
        <w:rPr>
          <w:rFonts w:asciiTheme="minorHAnsi" w:hAnsiTheme="minorHAnsi" w:cs="Tahoma"/>
          <w:b/>
          <w:szCs w:val="22"/>
        </w:rPr>
      </w:pPr>
    </w:p>
    <w:p w14:paraId="441B732B" w14:textId="77777777" w:rsidR="00C20262" w:rsidRPr="00A50EF0" w:rsidRDefault="00C20262" w:rsidP="00A50EF0">
      <w:pPr>
        <w:pStyle w:val="Rientrocorpodeltesto"/>
        <w:ind w:left="142"/>
        <w:rPr>
          <w:rFonts w:asciiTheme="minorHAnsi" w:hAnsiTheme="minorHAnsi" w:cs="Tahoma"/>
          <w:b/>
          <w:szCs w:val="22"/>
        </w:rPr>
      </w:pPr>
    </w:p>
    <w:p w14:paraId="1D92F3C8" w14:textId="77777777" w:rsidR="00D55529" w:rsidRPr="00A50EF0" w:rsidRDefault="00D55529" w:rsidP="00A50EF0">
      <w:pPr>
        <w:pStyle w:val="Rientrocorpodeltesto"/>
        <w:ind w:left="142"/>
        <w:rPr>
          <w:rFonts w:asciiTheme="minorHAnsi" w:hAnsiTheme="minorHAnsi" w:cs="Tahoma"/>
          <w:b/>
          <w:szCs w:val="22"/>
        </w:rPr>
      </w:pPr>
    </w:p>
    <w:p w14:paraId="7571A02F" w14:textId="5E2D7A1C" w:rsidR="00115A2B" w:rsidRPr="00A50EF0" w:rsidRDefault="00115A2B" w:rsidP="00A50EF0">
      <w:pPr>
        <w:pStyle w:val="Rientrocorpodeltesto"/>
        <w:ind w:left="142"/>
        <w:rPr>
          <w:rFonts w:asciiTheme="minorHAnsi" w:hAnsiTheme="minorHAnsi" w:cs="Tahoma"/>
          <w:b/>
          <w:szCs w:val="22"/>
        </w:rPr>
      </w:pPr>
      <w:r w:rsidRPr="00A50EF0">
        <w:rPr>
          <w:rFonts w:asciiTheme="minorHAnsi" w:hAnsiTheme="minorHAnsi" w:cs="Tahoma"/>
          <w:b/>
          <w:szCs w:val="22"/>
        </w:rPr>
        <w:t>Riferimenti:</w:t>
      </w:r>
    </w:p>
    <w:p w14:paraId="231B2236" w14:textId="77777777" w:rsidR="00115A2B" w:rsidRPr="00A50EF0" w:rsidRDefault="00115A2B" w:rsidP="00A50EF0">
      <w:pPr>
        <w:ind w:left="142"/>
        <w:jc w:val="both"/>
        <w:rPr>
          <w:rFonts w:asciiTheme="minorHAnsi" w:hAnsiTheme="minorHAnsi"/>
          <w:color w:val="000000"/>
          <w:sz w:val="22"/>
          <w:szCs w:val="22"/>
        </w:rPr>
      </w:pPr>
      <w:r w:rsidRPr="00A50EF0">
        <w:rPr>
          <w:rFonts w:asciiTheme="minorHAnsi" w:hAnsiTheme="minorHAnsi"/>
          <w:color w:val="000000"/>
          <w:sz w:val="22"/>
          <w:szCs w:val="22"/>
        </w:rPr>
        <w:t>Confindustria Umbria</w:t>
      </w:r>
    </w:p>
    <w:p w14:paraId="62FC4443" w14:textId="77777777" w:rsidR="00115A2B" w:rsidRPr="00A50EF0" w:rsidRDefault="00115A2B" w:rsidP="00A50EF0">
      <w:pPr>
        <w:ind w:left="142"/>
        <w:jc w:val="both"/>
        <w:rPr>
          <w:rFonts w:asciiTheme="minorHAnsi" w:hAnsiTheme="minorHAnsi" w:cs="Tahoma"/>
          <w:sz w:val="22"/>
          <w:szCs w:val="22"/>
        </w:rPr>
      </w:pPr>
      <w:r w:rsidRPr="00A50EF0">
        <w:rPr>
          <w:rFonts w:asciiTheme="minorHAnsi" w:hAnsiTheme="minorHAnsi"/>
          <w:color w:val="000000"/>
          <w:sz w:val="22"/>
          <w:szCs w:val="22"/>
        </w:rPr>
        <w:t>Area Ambiente e Sicurezza</w:t>
      </w:r>
      <w:r w:rsidRPr="00A50EF0">
        <w:rPr>
          <w:rFonts w:asciiTheme="minorHAnsi" w:hAnsiTheme="minorHAnsi" w:cs="Tahoma"/>
          <w:sz w:val="22"/>
          <w:szCs w:val="22"/>
        </w:rPr>
        <w:t xml:space="preserve"> – </w:t>
      </w:r>
      <w:hyperlink r:id="rId7" w:history="1">
        <w:r w:rsidR="00DF20BC" w:rsidRPr="00A50EF0">
          <w:rPr>
            <w:rStyle w:val="Collegamentoipertestuale"/>
            <w:rFonts w:asciiTheme="minorHAnsi" w:hAnsiTheme="minorHAnsi" w:cs="Tahoma"/>
            <w:sz w:val="22"/>
            <w:szCs w:val="22"/>
          </w:rPr>
          <w:t>ambiente@confindustria.umbria.it</w:t>
        </w:r>
      </w:hyperlink>
    </w:p>
    <w:p w14:paraId="02D3A598" w14:textId="5B10C16D" w:rsidR="00115A2B" w:rsidRPr="00A50EF0" w:rsidRDefault="00031409" w:rsidP="00A50EF0">
      <w:pPr>
        <w:ind w:left="142"/>
        <w:jc w:val="both"/>
        <w:rPr>
          <w:rFonts w:asciiTheme="minorHAnsi" w:hAnsiTheme="minorHAnsi" w:cs="Tahoma"/>
          <w:sz w:val="22"/>
          <w:szCs w:val="22"/>
        </w:rPr>
      </w:pPr>
      <w:r w:rsidRPr="00A50EF0">
        <w:rPr>
          <w:rFonts w:asciiTheme="minorHAnsi" w:hAnsiTheme="minorHAnsi"/>
          <w:color w:val="000000"/>
          <w:sz w:val="22"/>
          <w:szCs w:val="22"/>
        </w:rPr>
        <w:t>Dott. Di Matteo Tel. 075/5820227 - d</w:t>
      </w:r>
      <w:r w:rsidR="0096229E" w:rsidRPr="00A50EF0">
        <w:rPr>
          <w:rFonts w:asciiTheme="minorHAnsi" w:hAnsiTheme="minorHAnsi"/>
          <w:color w:val="000000"/>
          <w:sz w:val="22"/>
          <w:szCs w:val="22"/>
        </w:rPr>
        <w:t>ott. Dominici Tel. 0744/443418</w:t>
      </w:r>
    </w:p>
    <w:p w14:paraId="4B8CAD3D" w14:textId="77777777" w:rsidR="00F63E50" w:rsidRPr="00A50EF0" w:rsidRDefault="00F63E50" w:rsidP="00A50EF0">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A50EF0" w:rsidRDefault="00F63E50" w:rsidP="00A50EF0">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A50EF0" w:rsidRDefault="00DA0566" w:rsidP="00A50EF0">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A50EF0" w:rsidRDefault="00460662" w:rsidP="00A50EF0">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A50EF0" w:rsidRDefault="00F63E50" w:rsidP="00A50EF0">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602A526F" w:rsidR="00FA09FD" w:rsidRPr="00A50EF0" w:rsidRDefault="00FA09FD" w:rsidP="00A50EF0">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A50EF0">
        <w:rPr>
          <w:rFonts w:asciiTheme="minorHAnsi" w:hAnsiTheme="minorHAnsi" w:cs="Arial"/>
          <w:sz w:val="22"/>
          <w:szCs w:val="22"/>
        </w:rPr>
        <w:t xml:space="preserve">Pubblicata il </w:t>
      </w:r>
      <w:r w:rsidR="00473B3B">
        <w:rPr>
          <w:rFonts w:asciiTheme="minorHAnsi" w:hAnsiTheme="minorHAnsi" w:cs="Arial"/>
          <w:sz w:val="22"/>
          <w:szCs w:val="22"/>
        </w:rPr>
        <w:t>22</w:t>
      </w:r>
      <w:r w:rsidR="004A2554" w:rsidRPr="00A50EF0">
        <w:rPr>
          <w:rFonts w:asciiTheme="minorHAnsi" w:hAnsiTheme="minorHAnsi" w:cs="Arial"/>
          <w:sz w:val="22"/>
          <w:szCs w:val="22"/>
        </w:rPr>
        <w:t>/06</w:t>
      </w:r>
      <w:r w:rsidR="00865843" w:rsidRPr="00A50EF0">
        <w:rPr>
          <w:rFonts w:asciiTheme="minorHAnsi" w:hAnsiTheme="minorHAnsi" w:cs="Arial"/>
          <w:sz w:val="22"/>
          <w:szCs w:val="22"/>
        </w:rPr>
        <w:t>/2</w:t>
      </w:r>
      <w:r w:rsidR="00466C5C" w:rsidRPr="00A50EF0">
        <w:rPr>
          <w:rFonts w:asciiTheme="minorHAnsi" w:hAnsiTheme="minorHAnsi" w:cs="Arial"/>
          <w:sz w:val="22"/>
          <w:szCs w:val="22"/>
        </w:rPr>
        <w:t>020</w:t>
      </w:r>
    </w:p>
    <w:sectPr w:rsidR="00FA09FD" w:rsidRPr="00A50EF0" w:rsidSect="0027008E">
      <w:headerReference w:type="first" r:id="rId8"/>
      <w:footerReference w:type="first" r:id="rId9"/>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6942B" w14:textId="77777777" w:rsidR="00A3263B" w:rsidRDefault="00A3263B">
      <w:r>
        <w:separator/>
      </w:r>
    </w:p>
  </w:endnote>
  <w:endnote w:type="continuationSeparator" w:id="0">
    <w:p w14:paraId="4D1C8DFA" w14:textId="77777777" w:rsidR="00A3263B" w:rsidRDefault="00A3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BE1F" w14:textId="77777777" w:rsidR="00A3263B" w:rsidRDefault="00A3263B">
      <w:r>
        <w:separator/>
      </w:r>
    </w:p>
  </w:footnote>
  <w:footnote w:type="continuationSeparator" w:id="0">
    <w:p w14:paraId="76EBFFE5" w14:textId="77777777" w:rsidR="00A3263B" w:rsidRDefault="00A3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07367AB"/>
    <w:multiLevelType w:val="hybridMultilevel"/>
    <w:tmpl w:val="CBD07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85809"/>
    <w:multiLevelType w:val="hybridMultilevel"/>
    <w:tmpl w:val="5F54AB6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83F79"/>
    <w:multiLevelType w:val="multilevel"/>
    <w:tmpl w:val="6A6C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571ED"/>
    <w:multiLevelType w:val="multilevel"/>
    <w:tmpl w:val="D22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741648FC"/>
    <w:multiLevelType w:val="hybridMultilevel"/>
    <w:tmpl w:val="3D42924C"/>
    <w:lvl w:ilvl="0" w:tplc="98EE5466">
      <w:numFmt w:val="bullet"/>
      <w:lvlText w:val="-"/>
      <w:lvlJc w:val="left"/>
      <w:pPr>
        <w:ind w:left="720" w:hanging="360"/>
      </w:pPr>
      <w:rPr>
        <w:rFonts w:ascii="Calibri" w:eastAsiaTheme="minorEastAsia"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
  </w:num>
  <w:num w:numId="4">
    <w:abstractNumId w:val="8"/>
  </w:num>
  <w:num w:numId="5">
    <w:abstractNumId w:val="3"/>
  </w:num>
  <w:num w:numId="6">
    <w:abstractNumId w:val="13"/>
  </w:num>
  <w:num w:numId="7">
    <w:abstractNumId w:val="1"/>
  </w:num>
  <w:num w:numId="8">
    <w:abstractNumId w:val="0"/>
  </w:num>
  <w:num w:numId="9">
    <w:abstractNumId w:val="11"/>
  </w:num>
  <w:num w:numId="10">
    <w:abstractNumId w:val="17"/>
  </w:num>
  <w:num w:numId="11">
    <w:abstractNumId w:val="6"/>
  </w:num>
  <w:num w:numId="12">
    <w:abstractNumId w:val="9"/>
  </w:num>
  <w:num w:numId="13">
    <w:abstractNumId w:val="12"/>
  </w:num>
  <w:num w:numId="14">
    <w:abstractNumId w:val="14"/>
  </w:num>
  <w:num w:numId="15">
    <w:abstractNumId w:val="10"/>
  </w:num>
  <w:num w:numId="16">
    <w:abstractNumId w:val="7"/>
  </w:num>
  <w:num w:numId="17">
    <w:abstractNumId w:val="16"/>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25A7"/>
    <w:rsid w:val="001778FD"/>
    <w:rsid w:val="0018111E"/>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307D2"/>
    <w:rsid w:val="00230D70"/>
    <w:rsid w:val="00232EE7"/>
    <w:rsid w:val="00235BB7"/>
    <w:rsid w:val="00237B46"/>
    <w:rsid w:val="00242052"/>
    <w:rsid w:val="00242171"/>
    <w:rsid w:val="00243805"/>
    <w:rsid w:val="00243A70"/>
    <w:rsid w:val="00251D4B"/>
    <w:rsid w:val="00254B89"/>
    <w:rsid w:val="00263ECC"/>
    <w:rsid w:val="00267930"/>
    <w:rsid w:val="00267AF5"/>
    <w:rsid w:val="0027008E"/>
    <w:rsid w:val="00270C84"/>
    <w:rsid w:val="002715B6"/>
    <w:rsid w:val="0027491B"/>
    <w:rsid w:val="00276B9F"/>
    <w:rsid w:val="00287B0F"/>
    <w:rsid w:val="00290C20"/>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D27"/>
    <w:rsid w:val="00313531"/>
    <w:rsid w:val="00321B4F"/>
    <w:rsid w:val="00322A6F"/>
    <w:rsid w:val="00324DE2"/>
    <w:rsid w:val="00326B28"/>
    <w:rsid w:val="0033105D"/>
    <w:rsid w:val="003331B6"/>
    <w:rsid w:val="003334A8"/>
    <w:rsid w:val="00335832"/>
    <w:rsid w:val="003400DD"/>
    <w:rsid w:val="0034694B"/>
    <w:rsid w:val="00346C93"/>
    <w:rsid w:val="003540C1"/>
    <w:rsid w:val="00355A8C"/>
    <w:rsid w:val="00355CF5"/>
    <w:rsid w:val="00356718"/>
    <w:rsid w:val="00361275"/>
    <w:rsid w:val="0036245C"/>
    <w:rsid w:val="003735E3"/>
    <w:rsid w:val="003751E9"/>
    <w:rsid w:val="00381055"/>
    <w:rsid w:val="00381A37"/>
    <w:rsid w:val="00395305"/>
    <w:rsid w:val="0039681E"/>
    <w:rsid w:val="003A367B"/>
    <w:rsid w:val="003A4277"/>
    <w:rsid w:val="003A79EB"/>
    <w:rsid w:val="003B1C78"/>
    <w:rsid w:val="003B5C6C"/>
    <w:rsid w:val="003C2FA9"/>
    <w:rsid w:val="003C5532"/>
    <w:rsid w:val="003E4FF5"/>
    <w:rsid w:val="003E5F5C"/>
    <w:rsid w:val="003E6DDA"/>
    <w:rsid w:val="00400C53"/>
    <w:rsid w:val="00402BC9"/>
    <w:rsid w:val="00410350"/>
    <w:rsid w:val="004125E6"/>
    <w:rsid w:val="00416DC7"/>
    <w:rsid w:val="004176D9"/>
    <w:rsid w:val="00422AFC"/>
    <w:rsid w:val="00422B6A"/>
    <w:rsid w:val="0042628C"/>
    <w:rsid w:val="00431544"/>
    <w:rsid w:val="00434BAE"/>
    <w:rsid w:val="00437EE8"/>
    <w:rsid w:val="00442941"/>
    <w:rsid w:val="00445244"/>
    <w:rsid w:val="00447F0D"/>
    <w:rsid w:val="00450D41"/>
    <w:rsid w:val="00452023"/>
    <w:rsid w:val="00453F9C"/>
    <w:rsid w:val="004545E4"/>
    <w:rsid w:val="00457F83"/>
    <w:rsid w:val="00460490"/>
    <w:rsid w:val="00460662"/>
    <w:rsid w:val="00464138"/>
    <w:rsid w:val="00466C5C"/>
    <w:rsid w:val="00472D2B"/>
    <w:rsid w:val="00473B3B"/>
    <w:rsid w:val="0047651F"/>
    <w:rsid w:val="0048380D"/>
    <w:rsid w:val="004857B0"/>
    <w:rsid w:val="00492040"/>
    <w:rsid w:val="004A2554"/>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D53D3"/>
    <w:rsid w:val="004E0BC2"/>
    <w:rsid w:val="004E4D74"/>
    <w:rsid w:val="004E4F97"/>
    <w:rsid w:val="004E651F"/>
    <w:rsid w:val="004F157A"/>
    <w:rsid w:val="004F6EDA"/>
    <w:rsid w:val="0050335C"/>
    <w:rsid w:val="00510936"/>
    <w:rsid w:val="00524EFB"/>
    <w:rsid w:val="005264A9"/>
    <w:rsid w:val="0053040C"/>
    <w:rsid w:val="0053149D"/>
    <w:rsid w:val="00531CA4"/>
    <w:rsid w:val="005321D3"/>
    <w:rsid w:val="005414D3"/>
    <w:rsid w:val="005426FC"/>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320"/>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5DFF"/>
    <w:rsid w:val="0073184C"/>
    <w:rsid w:val="0073518B"/>
    <w:rsid w:val="00736D36"/>
    <w:rsid w:val="00740910"/>
    <w:rsid w:val="00745037"/>
    <w:rsid w:val="007458BB"/>
    <w:rsid w:val="00750D1B"/>
    <w:rsid w:val="00753224"/>
    <w:rsid w:val="0075722D"/>
    <w:rsid w:val="00760462"/>
    <w:rsid w:val="007613F3"/>
    <w:rsid w:val="00761B2C"/>
    <w:rsid w:val="00763E30"/>
    <w:rsid w:val="007677D4"/>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E700E"/>
    <w:rsid w:val="007F081C"/>
    <w:rsid w:val="007F117C"/>
    <w:rsid w:val="007F61DB"/>
    <w:rsid w:val="00813BAD"/>
    <w:rsid w:val="00816FB6"/>
    <w:rsid w:val="00831AB7"/>
    <w:rsid w:val="008340C8"/>
    <w:rsid w:val="00835670"/>
    <w:rsid w:val="0083593C"/>
    <w:rsid w:val="00850549"/>
    <w:rsid w:val="00851406"/>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49C9"/>
    <w:rsid w:val="008E7A94"/>
    <w:rsid w:val="008E7E36"/>
    <w:rsid w:val="008F59C6"/>
    <w:rsid w:val="008F7B14"/>
    <w:rsid w:val="00901C4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90377"/>
    <w:rsid w:val="0099127D"/>
    <w:rsid w:val="00991709"/>
    <w:rsid w:val="009937E8"/>
    <w:rsid w:val="009A3967"/>
    <w:rsid w:val="009A3DAF"/>
    <w:rsid w:val="009A6FDC"/>
    <w:rsid w:val="009B1968"/>
    <w:rsid w:val="009B2618"/>
    <w:rsid w:val="009B732E"/>
    <w:rsid w:val="009B7DDD"/>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4320"/>
    <w:rsid w:val="00A16DB3"/>
    <w:rsid w:val="00A2403B"/>
    <w:rsid w:val="00A24445"/>
    <w:rsid w:val="00A305FC"/>
    <w:rsid w:val="00A307CB"/>
    <w:rsid w:val="00A3263B"/>
    <w:rsid w:val="00A35E9C"/>
    <w:rsid w:val="00A45B24"/>
    <w:rsid w:val="00A4658A"/>
    <w:rsid w:val="00A501ED"/>
    <w:rsid w:val="00A50EF0"/>
    <w:rsid w:val="00A5144F"/>
    <w:rsid w:val="00A554C8"/>
    <w:rsid w:val="00A55D44"/>
    <w:rsid w:val="00A643AD"/>
    <w:rsid w:val="00A67134"/>
    <w:rsid w:val="00A71ED7"/>
    <w:rsid w:val="00A77D47"/>
    <w:rsid w:val="00A8200F"/>
    <w:rsid w:val="00A820E1"/>
    <w:rsid w:val="00A8486D"/>
    <w:rsid w:val="00A84A8F"/>
    <w:rsid w:val="00A87BA9"/>
    <w:rsid w:val="00A94DBE"/>
    <w:rsid w:val="00AA1828"/>
    <w:rsid w:val="00AA400D"/>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57F86"/>
    <w:rsid w:val="00B602F5"/>
    <w:rsid w:val="00B644F5"/>
    <w:rsid w:val="00B67A01"/>
    <w:rsid w:val="00B86A1D"/>
    <w:rsid w:val="00B9442C"/>
    <w:rsid w:val="00B94EBE"/>
    <w:rsid w:val="00B969C4"/>
    <w:rsid w:val="00B9787B"/>
    <w:rsid w:val="00B97A78"/>
    <w:rsid w:val="00BA23CA"/>
    <w:rsid w:val="00BA6A8E"/>
    <w:rsid w:val="00BA7846"/>
    <w:rsid w:val="00BB2068"/>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0262"/>
    <w:rsid w:val="00C23FDE"/>
    <w:rsid w:val="00C26F1C"/>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71C"/>
    <w:rsid w:val="00CA5B5C"/>
    <w:rsid w:val="00CA5FB4"/>
    <w:rsid w:val="00CA7C37"/>
    <w:rsid w:val="00CB1898"/>
    <w:rsid w:val="00CB78D9"/>
    <w:rsid w:val="00CB799C"/>
    <w:rsid w:val="00CC2C90"/>
    <w:rsid w:val="00CC42BA"/>
    <w:rsid w:val="00CE1CC0"/>
    <w:rsid w:val="00CF5FB8"/>
    <w:rsid w:val="00D00919"/>
    <w:rsid w:val="00D061EC"/>
    <w:rsid w:val="00D0650C"/>
    <w:rsid w:val="00D174FC"/>
    <w:rsid w:val="00D243D4"/>
    <w:rsid w:val="00D322D6"/>
    <w:rsid w:val="00D332DE"/>
    <w:rsid w:val="00D36940"/>
    <w:rsid w:val="00D376F6"/>
    <w:rsid w:val="00D41CEA"/>
    <w:rsid w:val="00D476C0"/>
    <w:rsid w:val="00D5288F"/>
    <w:rsid w:val="00D55529"/>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D79E1"/>
    <w:rsid w:val="00DE381B"/>
    <w:rsid w:val="00DF0987"/>
    <w:rsid w:val="00DF20BC"/>
    <w:rsid w:val="00E013C1"/>
    <w:rsid w:val="00E01515"/>
    <w:rsid w:val="00E10A5B"/>
    <w:rsid w:val="00E12EAF"/>
    <w:rsid w:val="00E1349C"/>
    <w:rsid w:val="00E134F2"/>
    <w:rsid w:val="00E16377"/>
    <w:rsid w:val="00E20570"/>
    <w:rsid w:val="00E24659"/>
    <w:rsid w:val="00E30506"/>
    <w:rsid w:val="00E4622B"/>
    <w:rsid w:val="00E50372"/>
    <w:rsid w:val="00E52784"/>
    <w:rsid w:val="00E5484F"/>
    <w:rsid w:val="00E55E46"/>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178"/>
    <w:rsid w:val="00EE1D92"/>
    <w:rsid w:val="00EE6621"/>
    <w:rsid w:val="00EF08FD"/>
    <w:rsid w:val="00EF461E"/>
    <w:rsid w:val="00F01340"/>
    <w:rsid w:val="00F023A3"/>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64F4"/>
    <w:rsid w:val="00F80A24"/>
    <w:rsid w:val="00F84C9A"/>
    <w:rsid w:val="00F85B9A"/>
    <w:rsid w:val="00F92C12"/>
    <w:rsid w:val="00F93523"/>
    <w:rsid w:val="00F94D0B"/>
    <w:rsid w:val="00F95509"/>
    <w:rsid w:val="00FA09FD"/>
    <w:rsid w:val="00FA0C5F"/>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 w:val="00FF3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character" w:styleId="Menzionenonrisolta">
    <w:name w:val="Unresolved Mention"/>
    <w:basedOn w:val="Carpredefinitoparagrafo"/>
    <w:uiPriority w:val="99"/>
    <w:semiHidden/>
    <w:unhideWhenUsed/>
    <w:rsid w:val="0085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199366885">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49570412">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60201945">
      <w:bodyDiv w:val="1"/>
      <w:marLeft w:val="0"/>
      <w:marRight w:val="0"/>
      <w:marTop w:val="0"/>
      <w:marBottom w:val="0"/>
      <w:divBdr>
        <w:top w:val="none" w:sz="0" w:space="0" w:color="auto"/>
        <w:left w:val="none" w:sz="0" w:space="0" w:color="auto"/>
        <w:bottom w:val="none" w:sz="0" w:space="0" w:color="auto"/>
        <w:right w:val="none" w:sz="0" w:space="0" w:color="auto"/>
      </w:divBdr>
    </w:div>
    <w:div w:id="361788791">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726839">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23067352">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8615785">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39</TotalTime>
  <Pages>1</Pages>
  <Words>816</Words>
  <Characters>4655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9</cp:revision>
  <cp:lastPrinted>2020-05-26T10:04:00Z</cp:lastPrinted>
  <dcterms:created xsi:type="dcterms:W3CDTF">2020-06-18T08:45:00Z</dcterms:created>
  <dcterms:modified xsi:type="dcterms:W3CDTF">2020-06-22T08:36:00Z</dcterms:modified>
</cp:coreProperties>
</file>