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2.0.0 -->
  <w:body>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7476"/>
      </w:tblGrid>
      <w:tr w:rsidTr="001E2AAA">
        <w:tblPrEx>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283" w:type="dxa"/>
            <w:gridSpan w:val="2"/>
            <w:tcBorders>
              <w:bottom w:val="single" w:sz="4" w:space="0" w:color="auto"/>
            </w:tcBorders>
            <w:shd w:val="clear" w:color="auto" w:fill="0000FF"/>
          </w:tcPr>
          <w:p w:rsidR="001E0806" w:rsidRPr="00F9272E" w:rsidP="00A910BD">
            <w:pPr>
              <w:spacing w:before="60" w:after="60"/>
              <w:jc w:val="center"/>
              <w:rPr>
                <w:rFonts w:ascii="Arial" w:hAnsi="Arial" w:cs="Arial"/>
                <w:b/>
                <w:i/>
                <w:sz w:val="22"/>
                <w:szCs w:val="22"/>
                <w:lang w:eastAsia="en-GB"/>
              </w:rPr>
            </w:pPr>
            <w:bookmarkStart w:id="0" w:name="_GoBack"/>
            <w:bookmarkEnd w:id="0"/>
            <w:r>
              <w:rPr>
                <w:rFonts w:ascii="Arial" w:hAnsi="Arial" w:cs="Arial"/>
                <w:b/>
                <w:sz w:val="22"/>
                <w:szCs w:val="22"/>
                <w:lang w:eastAsia="en-GB"/>
              </w:rPr>
              <w:t xml:space="preserve">EVALUATION </w:t>
            </w:r>
            <w:r w:rsidR="00351CBC">
              <w:rPr>
                <w:rFonts w:ascii="Arial" w:hAnsi="Arial" w:cs="Arial"/>
                <w:b/>
                <w:sz w:val="22"/>
                <w:szCs w:val="22"/>
                <w:lang w:eastAsia="en-GB"/>
              </w:rPr>
              <w:t xml:space="preserve">/ </w:t>
            </w:r>
            <w:r w:rsidRPr="00F9272E" w:rsidR="00351CBC">
              <w:rPr>
                <w:rFonts w:ascii="Arial" w:hAnsi="Arial" w:cs="Arial"/>
                <w:b/>
                <w:sz w:val="22"/>
                <w:szCs w:val="22"/>
                <w:lang w:eastAsia="en-GB"/>
              </w:rPr>
              <w:t xml:space="preserve">FITNESS CHECK </w:t>
            </w:r>
            <w:r w:rsidRPr="00F9272E">
              <w:rPr>
                <w:rFonts w:ascii="Arial" w:hAnsi="Arial" w:cs="Arial"/>
                <w:b/>
                <w:sz w:val="22"/>
                <w:szCs w:val="22"/>
                <w:lang w:eastAsia="en-GB"/>
              </w:rPr>
              <w:t xml:space="preserve">ROADMAP  </w:t>
            </w:r>
          </w:p>
        </w:tc>
      </w:tr>
      <w:tr w:rsidTr="001E2AAA">
        <w:tblPrEx>
          <w:tblW w:w="10283" w:type="dxa"/>
          <w:jc w:val="center"/>
          <w:tblLayout w:type="fixed"/>
          <w:tblLook w:val="01E0"/>
        </w:tblPrEx>
        <w:trPr>
          <w:jc w:val="center"/>
        </w:trPr>
        <w:tc>
          <w:tcPr>
            <w:tcW w:w="10283" w:type="dxa"/>
            <w:gridSpan w:val="2"/>
            <w:tcBorders>
              <w:bottom w:val="single" w:sz="4" w:space="0" w:color="auto"/>
            </w:tcBorders>
            <w:shd w:val="clear" w:color="auto" w:fill="D9D9D9" w:themeFill="background1" w:themeFillShade="D9"/>
          </w:tcPr>
          <w:p w:rsidR="00244EDC" w:rsidRPr="00A910BD" w:rsidP="00A910BD">
            <w:pPr>
              <w:spacing w:before="60" w:after="60"/>
              <w:rPr>
                <w:rFonts w:ascii="Arial" w:hAnsi="Arial" w:cs="Arial"/>
                <w:sz w:val="18"/>
                <w:szCs w:val="18"/>
                <w:lang w:eastAsia="en-GB"/>
              </w:rPr>
            </w:pPr>
            <w:r w:rsidRPr="00A910BD">
              <w:rPr>
                <w:rFonts w:ascii="Arial" w:hAnsi="Arial" w:cs="Arial"/>
                <w:color w:val="000080"/>
                <w:sz w:val="18"/>
                <w:szCs w:val="18"/>
                <w:lang w:eastAsia="en-GB"/>
              </w:rPr>
              <w:t xml:space="preserve">Roadmaps aim to inform citizens and stakeholders about the Commission's work to allow them to provide feedback and to participate effectively in future consultation activities. Citizens and stakeholders </w:t>
            </w:r>
            <w:r w:rsidRPr="00A910BD">
              <w:rPr>
                <w:rFonts w:ascii="Arial" w:hAnsi="Arial" w:cs="Arial"/>
                <w:color w:val="000080"/>
                <w:sz w:val="18"/>
                <w:szCs w:val="18"/>
                <w:lang w:eastAsia="en-GB"/>
              </w:rPr>
              <w:t>are in particular invited</w:t>
            </w:r>
            <w:r w:rsidRPr="00A910BD">
              <w:rPr>
                <w:rFonts w:ascii="Arial" w:hAnsi="Arial" w:cs="Arial"/>
                <w:color w:val="000080"/>
                <w:sz w:val="18"/>
                <w:szCs w:val="18"/>
                <w:lang w:eastAsia="en-GB"/>
              </w:rPr>
              <w:t xml:space="preserve"> to provide views on the Commission's understanding of the problem and possible solutions and to share any relevant information that they may have.</w:t>
            </w:r>
          </w:p>
        </w:tc>
      </w:tr>
      <w:tr w:rsidTr="001E2AAA">
        <w:tblPrEx>
          <w:tblW w:w="10283" w:type="dxa"/>
          <w:jc w:val="center"/>
          <w:tblLayout w:type="fixed"/>
          <w:tblLook w:val="01E0"/>
        </w:tblPrEx>
        <w:trPr>
          <w:jc w:val="center"/>
        </w:trPr>
        <w:tc>
          <w:tcPr>
            <w:tcW w:w="2807" w:type="dxa"/>
            <w:tcBorders>
              <w:bottom w:val="single" w:sz="4" w:space="0" w:color="auto"/>
            </w:tcBorders>
            <w:shd w:val="clear" w:color="auto" w:fill="E6E6E6"/>
            <w:vAlign w:val="center"/>
          </w:tcPr>
          <w:p w:rsidR="001E0806" w:rsidRPr="001E2AAA" w:rsidP="00B7441B">
            <w:pPr>
              <w:spacing w:before="60" w:after="60"/>
              <w:jc w:val="left"/>
              <w:rPr>
                <w:rFonts w:ascii="Arial" w:hAnsi="Arial" w:cs="Arial"/>
                <w:b/>
                <w:bCs/>
                <w:smallCaps/>
                <w:sz w:val="20"/>
                <w:lang w:eastAsia="en-GB"/>
              </w:rPr>
            </w:pPr>
            <w:r w:rsidRPr="001E2AAA">
              <w:rPr>
                <w:rFonts w:ascii="Arial" w:hAnsi="Arial" w:cs="Arial"/>
                <w:b/>
                <w:bCs/>
                <w:smallCaps/>
                <w:sz w:val="20"/>
                <w:lang w:eastAsia="en-GB"/>
              </w:rPr>
              <w:t>Title of the evaluation</w:t>
            </w:r>
          </w:p>
        </w:tc>
        <w:tc>
          <w:tcPr>
            <w:tcW w:w="7476" w:type="dxa"/>
            <w:shd w:val="clear" w:color="auto" w:fill="auto"/>
            <w:vAlign w:val="center"/>
          </w:tcPr>
          <w:p w:rsidR="001E0806" w:rsidRPr="00AE599E" w:rsidP="00C2046F">
            <w:pPr>
              <w:spacing w:before="60" w:after="60"/>
              <w:rPr>
                <w:rFonts w:asciiTheme="minorHAnsi" w:hAnsiTheme="minorHAnsi" w:cstheme="minorHAnsi"/>
                <w:sz w:val="22"/>
                <w:szCs w:val="22"/>
              </w:rPr>
            </w:pPr>
            <w:r w:rsidRPr="00AE599E">
              <w:rPr>
                <w:rFonts w:asciiTheme="minorHAnsi" w:hAnsiTheme="minorHAnsi" w:cstheme="minorHAnsi"/>
                <w:sz w:val="22"/>
                <w:szCs w:val="22"/>
              </w:rPr>
              <w:t>Evaluation of the Sewage Sludge Directive 86/278/EEC</w:t>
            </w:r>
          </w:p>
        </w:tc>
      </w:tr>
      <w:tr w:rsidTr="001E2AAA">
        <w:tblPrEx>
          <w:tblW w:w="10283" w:type="dxa"/>
          <w:jc w:val="center"/>
          <w:tblLayout w:type="fixed"/>
          <w:tblLook w:val="01E0"/>
        </w:tblPrEx>
        <w:trPr>
          <w:jc w:val="center"/>
        </w:trPr>
        <w:tc>
          <w:tcPr>
            <w:tcW w:w="2807" w:type="dxa"/>
            <w:tcBorders>
              <w:bottom w:val="single" w:sz="4" w:space="0" w:color="auto"/>
              <w:right w:val="single" w:sz="4" w:space="0" w:color="auto"/>
            </w:tcBorders>
            <w:shd w:val="clear" w:color="auto" w:fill="E6E6E6"/>
            <w:vAlign w:val="center"/>
          </w:tcPr>
          <w:p w:rsidR="00244EDC" w:rsidRPr="001E2AAA" w:rsidP="00B7441B">
            <w:pPr>
              <w:spacing w:before="60" w:after="60"/>
              <w:jc w:val="left"/>
              <w:rPr>
                <w:rFonts w:ascii="Arial" w:hAnsi="Arial" w:cs="Arial"/>
                <w:b/>
                <w:bCs/>
                <w:smallCaps/>
                <w:sz w:val="20"/>
                <w:lang w:eastAsia="en-GB"/>
              </w:rPr>
            </w:pPr>
            <w:r w:rsidRPr="001E2AAA">
              <w:rPr>
                <w:rFonts w:ascii="Arial" w:hAnsi="Arial" w:cs="Arial"/>
                <w:b/>
                <w:bCs/>
                <w:smallCaps/>
                <w:sz w:val="20"/>
                <w:lang w:eastAsia="en-GB"/>
              </w:rPr>
              <w:t xml:space="preserve">Lead DG – responsible unit </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244EDC" w:rsidRPr="00AF2CA9" w:rsidP="00AE599E">
            <w:pPr>
              <w:spacing w:before="60" w:after="60"/>
              <w:jc w:val="left"/>
              <w:rPr>
                <w:rFonts w:asciiTheme="minorHAnsi" w:hAnsiTheme="minorHAnsi" w:cstheme="minorHAnsi"/>
                <w:sz w:val="22"/>
                <w:szCs w:val="22"/>
                <w:lang w:eastAsia="en-GB"/>
              </w:rPr>
            </w:pPr>
            <w:r w:rsidRPr="00AF2CA9">
              <w:rPr>
                <w:rFonts w:asciiTheme="minorHAnsi" w:hAnsiTheme="minorHAnsi" w:cstheme="minorHAnsi"/>
                <w:sz w:val="22"/>
                <w:szCs w:val="22"/>
                <w:lang w:eastAsia="en-GB"/>
              </w:rPr>
              <w:t>DG ENV – unit B3</w:t>
            </w:r>
            <w:r w:rsidRPr="00AF2CA9" w:rsidR="00AE599E">
              <w:rPr>
                <w:rFonts w:asciiTheme="minorHAnsi" w:hAnsiTheme="minorHAnsi" w:cstheme="minorHAnsi"/>
                <w:sz w:val="22"/>
                <w:szCs w:val="22"/>
                <w:lang w:eastAsia="en-GB"/>
              </w:rPr>
              <w:t xml:space="preserve"> Waste </w:t>
            </w:r>
            <w:r w:rsidRPr="00AF2CA9" w:rsidR="00AE599E">
              <w:rPr>
                <w:rFonts w:asciiTheme="minorHAnsi" w:eastAsiaTheme="minorEastAsia" w:hAnsiTheme="minorHAnsi" w:cstheme="minorHAnsi"/>
                <w:noProof/>
                <w:sz w:val="22"/>
                <w:szCs w:val="22"/>
                <w:lang w:val="en-US" w:eastAsia="en-GB"/>
              </w:rPr>
              <w:t>Management &amp; Secondary Materials</w:t>
            </w:r>
          </w:p>
        </w:tc>
      </w:tr>
      <w:tr w:rsidTr="001E2AAA">
        <w:tblPrEx>
          <w:tblW w:w="10283" w:type="dxa"/>
          <w:jc w:val="center"/>
          <w:tblLayout w:type="fixed"/>
          <w:tblLook w:val="01E0"/>
        </w:tblPrEx>
        <w:trPr>
          <w:jc w:val="center"/>
        </w:trPr>
        <w:tc>
          <w:tcPr>
            <w:tcW w:w="2807" w:type="dxa"/>
            <w:tcBorders>
              <w:bottom w:val="single" w:sz="4" w:space="0" w:color="auto"/>
              <w:right w:val="single" w:sz="4" w:space="0" w:color="auto"/>
            </w:tcBorders>
            <w:shd w:val="clear" w:color="auto" w:fill="E6E6E6"/>
            <w:vAlign w:val="center"/>
          </w:tcPr>
          <w:p w:rsidR="001E0806" w:rsidRPr="001E2AAA" w:rsidP="00B7441B">
            <w:pPr>
              <w:spacing w:before="60" w:after="60"/>
              <w:jc w:val="left"/>
              <w:rPr>
                <w:rFonts w:ascii="Arial" w:hAnsi="Arial" w:cs="Arial"/>
                <w:b/>
                <w:bCs/>
                <w:smallCaps/>
                <w:sz w:val="20"/>
                <w:lang w:eastAsia="en-GB"/>
              </w:rPr>
            </w:pPr>
            <w:r w:rsidRPr="001E2AAA">
              <w:rPr>
                <w:rFonts w:ascii="Arial" w:hAnsi="Arial" w:cs="Arial"/>
                <w:b/>
                <w:bCs/>
                <w:smallCaps/>
                <w:sz w:val="20"/>
                <w:lang w:eastAsia="en-GB"/>
              </w:rPr>
              <w:t xml:space="preserve">Indicative Planning </w:t>
            </w:r>
          </w:p>
          <w:p w:rsidR="001E0806" w:rsidRPr="001E2AAA" w:rsidP="00B7441B">
            <w:pPr>
              <w:spacing w:before="60" w:after="60"/>
              <w:jc w:val="left"/>
              <w:rPr>
                <w:rFonts w:ascii="Arial" w:hAnsi="Arial" w:cs="Arial"/>
                <w:b/>
                <w:bCs/>
                <w:smallCaps/>
                <w:sz w:val="20"/>
                <w:lang w:eastAsia="en-GB"/>
              </w:rPr>
            </w:pPr>
            <w:r w:rsidRPr="001E2AAA">
              <w:rPr>
                <w:rFonts w:ascii="Arial" w:hAnsi="Arial" w:cs="Arial"/>
                <w:b/>
                <w:bCs/>
                <w:smallCaps/>
                <w:sz w:val="20"/>
                <w:lang w:eastAsia="en-GB"/>
              </w:rPr>
              <w:t>(planned start date and completion date)</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EA5830" w:rsidRPr="00AF2CA9" w:rsidP="00B7441B">
            <w:pPr>
              <w:spacing w:before="60" w:after="60"/>
              <w:jc w:val="left"/>
              <w:rPr>
                <w:rFonts w:asciiTheme="minorHAnsi" w:hAnsiTheme="minorHAnsi" w:cstheme="minorHAnsi"/>
                <w:sz w:val="22"/>
                <w:szCs w:val="22"/>
                <w:lang w:eastAsia="en-GB"/>
              </w:rPr>
            </w:pPr>
            <w:r w:rsidRPr="00AF2CA9">
              <w:rPr>
                <w:rFonts w:asciiTheme="minorHAnsi" w:hAnsiTheme="minorHAnsi" w:cstheme="minorHAnsi"/>
                <w:sz w:val="22"/>
                <w:szCs w:val="22"/>
                <w:lang w:eastAsia="en-GB"/>
              </w:rPr>
              <w:t xml:space="preserve">Start </w:t>
            </w:r>
            <w:r w:rsidRPr="00AF2CA9">
              <w:rPr>
                <w:rFonts w:asciiTheme="minorHAnsi" w:hAnsiTheme="minorHAnsi" w:cstheme="minorHAnsi"/>
                <w:sz w:val="22"/>
                <w:szCs w:val="22"/>
                <w:lang w:eastAsia="en-GB"/>
              </w:rPr>
              <w:t xml:space="preserve">– </w:t>
            </w:r>
            <w:r w:rsidRPr="00AF2CA9" w:rsidR="00AE599E">
              <w:rPr>
                <w:rFonts w:asciiTheme="minorHAnsi" w:hAnsiTheme="minorHAnsi" w:cstheme="minorHAnsi"/>
                <w:sz w:val="22"/>
                <w:szCs w:val="22"/>
                <w:lang w:eastAsia="en-GB"/>
              </w:rPr>
              <w:t xml:space="preserve">Q3 </w:t>
            </w:r>
            <w:r w:rsidRPr="00AF2CA9" w:rsidR="00C2046F">
              <w:rPr>
                <w:rFonts w:asciiTheme="minorHAnsi" w:hAnsiTheme="minorHAnsi" w:cstheme="minorHAnsi"/>
                <w:sz w:val="22"/>
                <w:szCs w:val="22"/>
                <w:lang w:eastAsia="en-GB"/>
              </w:rPr>
              <w:t>2020</w:t>
            </w:r>
            <w:r w:rsidRPr="00AF2CA9">
              <w:rPr>
                <w:rFonts w:asciiTheme="minorHAnsi" w:hAnsiTheme="minorHAnsi" w:cstheme="minorHAnsi"/>
                <w:sz w:val="22"/>
                <w:szCs w:val="22"/>
                <w:lang w:eastAsia="en-GB"/>
              </w:rPr>
              <w:t xml:space="preserve"> </w:t>
            </w:r>
          </w:p>
          <w:p w:rsidR="001E0806" w:rsidRPr="00AF2CA9" w:rsidP="00AE599E">
            <w:pPr>
              <w:spacing w:before="60" w:after="60"/>
              <w:jc w:val="left"/>
              <w:rPr>
                <w:rFonts w:asciiTheme="minorHAnsi" w:hAnsiTheme="minorHAnsi" w:cstheme="minorHAnsi"/>
                <w:sz w:val="22"/>
                <w:szCs w:val="22"/>
                <w:highlight w:val="green"/>
                <w:lang w:eastAsia="en-GB"/>
              </w:rPr>
            </w:pPr>
            <w:r w:rsidRPr="00AF2CA9">
              <w:rPr>
                <w:rFonts w:asciiTheme="minorHAnsi" w:hAnsiTheme="minorHAnsi" w:cstheme="minorHAnsi"/>
                <w:sz w:val="22"/>
                <w:szCs w:val="22"/>
                <w:lang w:eastAsia="en-GB"/>
              </w:rPr>
              <w:t xml:space="preserve">End – </w:t>
            </w:r>
            <w:r w:rsidRPr="00AF2CA9" w:rsidR="00AE599E">
              <w:rPr>
                <w:rFonts w:asciiTheme="minorHAnsi" w:hAnsiTheme="minorHAnsi" w:cstheme="minorHAnsi"/>
                <w:sz w:val="22"/>
                <w:szCs w:val="22"/>
                <w:lang w:eastAsia="en-GB"/>
              </w:rPr>
              <w:t xml:space="preserve">Q3 </w:t>
            </w:r>
            <w:r w:rsidRPr="00AF2CA9">
              <w:rPr>
                <w:rFonts w:asciiTheme="minorHAnsi" w:hAnsiTheme="minorHAnsi" w:cstheme="minorHAnsi"/>
                <w:sz w:val="22"/>
                <w:szCs w:val="22"/>
                <w:lang w:eastAsia="en-GB"/>
              </w:rPr>
              <w:t>2021</w:t>
            </w:r>
          </w:p>
        </w:tc>
      </w:tr>
      <w:tr w:rsidTr="001E2AAA">
        <w:tblPrEx>
          <w:tblW w:w="10283" w:type="dxa"/>
          <w:jc w:val="center"/>
          <w:tblLayout w:type="fixed"/>
          <w:tblLook w:val="01E0"/>
        </w:tblPrEx>
        <w:trPr>
          <w:jc w:val="center"/>
        </w:trPr>
        <w:tc>
          <w:tcPr>
            <w:tcW w:w="2807" w:type="dxa"/>
            <w:tcBorders>
              <w:bottom w:val="single" w:sz="4" w:space="0" w:color="auto"/>
              <w:right w:val="single" w:sz="4" w:space="0" w:color="auto"/>
            </w:tcBorders>
            <w:shd w:val="clear" w:color="auto" w:fill="E6E6E6"/>
            <w:vAlign w:val="center"/>
          </w:tcPr>
          <w:p w:rsidR="001E0806" w:rsidRPr="001E2AAA" w:rsidP="00B7441B">
            <w:pPr>
              <w:spacing w:before="60" w:after="60"/>
              <w:jc w:val="left"/>
              <w:rPr>
                <w:rFonts w:ascii="Arial" w:hAnsi="Arial" w:cs="Arial"/>
                <w:b/>
                <w:bCs/>
                <w:smallCaps/>
                <w:sz w:val="20"/>
                <w:lang w:eastAsia="en-GB"/>
              </w:rPr>
            </w:pPr>
            <w:r w:rsidRPr="001E2AAA">
              <w:rPr>
                <w:rFonts w:ascii="Arial" w:hAnsi="Arial" w:cs="Arial"/>
                <w:b/>
                <w:bCs/>
                <w:smallCaps/>
                <w:sz w:val="20"/>
                <w:lang w:eastAsia="en-GB"/>
              </w:rPr>
              <w:t>Additional Information</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C2046F" w:rsidRPr="00AE599E" w:rsidP="00B7441B">
            <w:pPr>
              <w:spacing w:before="60" w:after="60"/>
              <w:jc w:val="left"/>
              <w:rPr>
                <w:rFonts w:asciiTheme="minorHAnsi" w:hAnsiTheme="minorHAnsi" w:cstheme="minorHAnsi"/>
                <w:color w:val="000080"/>
                <w:sz w:val="22"/>
                <w:szCs w:val="22"/>
                <w:lang w:eastAsia="en-GB"/>
              </w:rPr>
            </w:pPr>
            <w:r>
              <w:fldChar w:fldCharType="begin"/>
            </w:r>
            <w:r>
              <w:instrText xml:space="preserve"> HYPERLINK "https://ec.europa.eu/environment/waste/sludge/" </w:instrText>
            </w:r>
            <w:r>
              <w:fldChar w:fldCharType="separate"/>
            </w:r>
            <w:r w:rsidRPr="00AE599E">
              <w:rPr>
                <w:rStyle w:val="Hyperlink"/>
                <w:rFonts w:asciiTheme="minorHAnsi" w:hAnsiTheme="minorHAnsi" w:cstheme="minorHAnsi"/>
                <w:sz w:val="22"/>
                <w:szCs w:val="22"/>
              </w:rPr>
              <w:t>https://ec.europa.eu/environment/waste/sludge/</w:t>
            </w:r>
            <w:r>
              <w:fldChar w:fldCharType="end"/>
            </w:r>
          </w:p>
        </w:tc>
      </w:tr>
      <w:tr w:rsidTr="001E2AAA">
        <w:tblPrEx>
          <w:tblW w:w="10283" w:type="dxa"/>
          <w:jc w:val="center"/>
          <w:tblLayout w:type="fixed"/>
          <w:tblLook w:val="01E0"/>
        </w:tblPrEx>
        <w:trPr>
          <w:jc w:val="center"/>
        </w:trPr>
        <w:tc>
          <w:tcPr>
            <w:tcW w:w="10283" w:type="dxa"/>
            <w:gridSpan w:val="2"/>
            <w:tcBorders>
              <w:bottom w:val="single" w:sz="4" w:space="0" w:color="auto"/>
              <w:right w:val="single" w:sz="4" w:space="0" w:color="auto"/>
            </w:tcBorders>
            <w:shd w:val="clear" w:color="auto" w:fill="E6E6E6"/>
          </w:tcPr>
          <w:p w:rsidR="00244EDC" w:rsidRPr="00F9272E" w:rsidP="000E1534">
            <w:pPr>
              <w:spacing w:before="60" w:after="60"/>
              <w:rPr>
                <w:rFonts w:ascii="Arial" w:hAnsi="Arial" w:cs="Arial"/>
                <w:b/>
                <w:i/>
                <w:color w:val="00B050"/>
                <w:sz w:val="20"/>
                <w:lang w:eastAsia="en-GB"/>
              </w:rPr>
            </w:pPr>
            <w:r w:rsidRPr="00244EDC">
              <w:rPr>
                <w:rFonts w:ascii="Arial" w:hAnsi="Arial" w:cs="Arial"/>
                <w:b/>
                <w:color w:val="FF0000"/>
                <w:sz w:val="18"/>
                <w:szCs w:val="18"/>
                <w:lang w:eastAsia="en-GB"/>
              </w:rPr>
              <w:t xml:space="preserve">The </w:t>
            </w:r>
            <w:r>
              <w:rPr>
                <w:rFonts w:ascii="Arial" w:hAnsi="Arial" w:cs="Arial"/>
                <w:b/>
                <w:color w:val="FF0000"/>
                <w:sz w:val="18"/>
                <w:szCs w:val="18"/>
                <w:lang w:eastAsia="en-GB"/>
              </w:rPr>
              <w:t>Roadmap</w:t>
            </w:r>
            <w:r w:rsidRPr="00244EDC">
              <w:rPr>
                <w:rFonts w:ascii="Arial" w:hAnsi="Arial" w:cs="Arial"/>
                <w:b/>
                <w:color w:val="FF0000"/>
                <w:sz w:val="18"/>
                <w:szCs w:val="18"/>
                <w:lang w:eastAsia="en-GB"/>
              </w:rPr>
              <w:t xml:space="preserve"> </w:t>
            </w:r>
            <w:r w:rsidRPr="00244EDC">
              <w:rPr>
                <w:rFonts w:ascii="Arial" w:hAnsi="Arial" w:cs="Arial"/>
                <w:b/>
                <w:color w:val="FF0000"/>
                <w:sz w:val="18"/>
                <w:szCs w:val="18"/>
                <w:lang w:eastAsia="en-GB"/>
              </w:rPr>
              <w:t>is provided</w:t>
            </w:r>
            <w:r w:rsidRPr="00244EDC">
              <w:rPr>
                <w:rFonts w:ascii="Arial" w:hAnsi="Arial" w:cs="Arial"/>
                <w:b/>
                <w:color w:val="FF0000"/>
                <w:sz w:val="18"/>
                <w:szCs w:val="18"/>
                <w:lang w:eastAsia="en-GB"/>
              </w:rPr>
              <w:t xml:space="preserve"> for information purposes only. It does not prejudge the final decision of the Commission on whether this initiative </w:t>
            </w:r>
            <w:r w:rsidRPr="00244EDC">
              <w:rPr>
                <w:rFonts w:ascii="Arial" w:hAnsi="Arial" w:cs="Arial"/>
                <w:b/>
                <w:color w:val="FF0000"/>
                <w:sz w:val="18"/>
                <w:szCs w:val="18"/>
                <w:lang w:eastAsia="en-GB"/>
              </w:rPr>
              <w:t>will be pursued</w:t>
            </w:r>
            <w:r w:rsidRPr="00244EDC">
              <w:rPr>
                <w:rFonts w:ascii="Arial" w:hAnsi="Arial" w:cs="Arial"/>
                <w:b/>
                <w:color w:val="FF0000"/>
                <w:sz w:val="18"/>
                <w:szCs w:val="18"/>
                <w:lang w:eastAsia="en-GB"/>
              </w:rPr>
              <w:t xml:space="preserve"> or on its final content. All elements of the initiative described by the </w:t>
            </w:r>
            <w:r>
              <w:rPr>
                <w:rFonts w:ascii="Arial" w:hAnsi="Arial" w:cs="Arial"/>
                <w:b/>
                <w:color w:val="FF0000"/>
                <w:sz w:val="18"/>
                <w:szCs w:val="18"/>
                <w:lang w:eastAsia="en-GB"/>
              </w:rPr>
              <w:t>document</w:t>
            </w:r>
            <w:r w:rsidRPr="00244EDC">
              <w:rPr>
                <w:rFonts w:ascii="Arial" w:hAnsi="Arial" w:cs="Arial"/>
                <w:b/>
                <w:color w:val="FF0000"/>
                <w:sz w:val="18"/>
                <w:szCs w:val="18"/>
                <w:lang w:eastAsia="en-GB"/>
              </w:rPr>
              <w:t>, including its timing, are subject to change.</w:t>
            </w:r>
          </w:p>
        </w:tc>
      </w:tr>
    </w:tbl>
    <w:p w:rsidR="00DD0D65" w:rsidRPr="00F9272E" w:rsidP="001E0806">
      <w:pPr>
        <w:spacing w:after="0"/>
        <w:jc w:val="left"/>
        <w:rPr>
          <w:szCs w:val="24"/>
          <w:lang w:eastAsia="en-GB"/>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3"/>
      </w:tblGrid>
      <w:tr w:rsidTr="001E2AAA">
        <w:tblPrEx>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0283" w:type="dxa"/>
            <w:tcBorders>
              <w:bottom w:val="single" w:sz="4" w:space="0" w:color="auto"/>
            </w:tcBorders>
            <w:shd w:val="clear" w:color="auto" w:fill="0000FF"/>
          </w:tcPr>
          <w:p w:rsidR="001E0806" w:rsidRPr="00F9272E" w:rsidP="00927501">
            <w:pPr>
              <w:spacing w:before="60" w:after="60"/>
              <w:jc w:val="center"/>
              <w:rPr>
                <w:rFonts w:ascii="Arial" w:hAnsi="Arial" w:cs="Arial"/>
                <w:b/>
                <w:sz w:val="22"/>
                <w:szCs w:val="22"/>
                <w:lang w:eastAsia="en-GB"/>
              </w:rPr>
            </w:pPr>
            <w:r>
              <w:rPr>
                <w:rFonts w:ascii="Arial" w:hAnsi="Arial" w:cs="Arial"/>
                <w:b/>
                <w:sz w:val="22"/>
                <w:szCs w:val="22"/>
                <w:lang w:eastAsia="en-GB"/>
              </w:rPr>
              <w:t>A. Context, purpose and s</w:t>
            </w:r>
            <w:r w:rsidRPr="00F9272E">
              <w:rPr>
                <w:rFonts w:ascii="Arial" w:hAnsi="Arial" w:cs="Arial"/>
                <w:b/>
                <w:sz w:val="22"/>
                <w:szCs w:val="22"/>
                <w:lang w:eastAsia="en-GB"/>
              </w:rPr>
              <w:t>cope of the evaluation</w:t>
            </w:r>
          </w:p>
        </w:tc>
      </w:tr>
      <w:tr w:rsidTr="001E2AAA">
        <w:tblPrEx>
          <w:tblW w:w="10283" w:type="dxa"/>
          <w:jc w:val="center"/>
          <w:tblLook w:val="01E0"/>
        </w:tblPrEx>
        <w:trPr>
          <w:jc w:val="center"/>
        </w:trPr>
        <w:tc>
          <w:tcPr>
            <w:tcW w:w="10283" w:type="dxa"/>
            <w:tcBorders>
              <w:bottom w:val="single" w:sz="4" w:space="0" w:color="auto"/>
            </w:tcBorders>
            <w:shd w:val="clear" w:color="auto" w:fill="E6E6E6"/>
          </w:tcPr>
          <w:p w:rsidR="001E0806" w:rsidRPr="00F9272E" w:rsidP="000E1534">
            <w:pPr>
              <w:spacing w:before="60" w:after="60"/>
              <w:rPr>
                <w:rFonts w:ascii="Arial" w:hAnsi="Arial" w:cs="Arial"/>
                <w:sz w:val="20"/>
                <w:lang w:eastAsia="en-GB"/>
              </w:rPr>
            </w:pPr>
            <w:r w:rsidRPr="00F9272E">
              <w:rPr>
                <w:rFonts w:ascii="Arial" w:hAnsi="Arial" w:cs="Arial"/>
                <w:b/>
                <w:sz w:val="20"/>
                <w:lang w:eastAsia="en-GB"/>
              </w:rPr>
              <w:t xml:space="preserve">Context </w:t>
            </w:r>
          </w:p>
        </w:tc>
      </w:tr>
      <w:tr w:rsidTr="00D73170">
        <w:tblPrEx>
          <w:tblW w:w="10283" w:type="dxa"/>
          <w:jc w:val="center"/>
          <w:tblLook w:val="01E0"/>
        </w:tblPrEx>
        <w:trPr>
          <w:trHeight w:val="2400"/>
          <w:jc w:val="center"/>
        </w:trPr>
        <w:tc>
          <w:tcPr>
            <w:tcW w:w="10283" w:type="dxa"/>
            <w:tcBorders>
              <w:bottom w:val="single" w:sz="4" w:space="0" w:color="auto"/>
            </w:tcBorders>
            <w:shd w:val="clear" w:color="auto" w:fill="auto"/>
          </w:tcPr>
          <w:p w:rsidR="00C2046F" w:rsidRPr="00A043F8" w:rsidP="00C2046F">
            <w:pPr>
              <w:spacing w:before="60" w:after="60"/>
              <w:rPr>
                <w:rFonts w:asciiTheme="minorHAnsi" w:hAnsiTheme="minorHAnsi" w:cstheme="minorHAnsi"/>
                <w:sz w:val="22"/>
                <w:szCs w:val="22"/>
                <w:lang w:val="en-IE"/>
              </w:rPr>
            </w:pPr>
            <w:r w:rsidRPr="000E1534">
              <w:rPr>
                <w:rFonts w:asciiTheme="minorHAnsi" w:hAnsiTheme="minorHAnsi" w:cstheme="minorHAnsi"/>
                <w:sz w:val="22"/>
                <w:szCs w:val="22"/>
                <w:lang w:val="en-IE"/>
              </w:rPr>
              <w:t xml:space="preserve">The </w:t>
            </w:r>
            <w:r>
              <w:fldChar w:fldCharType="begin"/>
            </w:r>
            <w:r>
              <w:instrText xml:space="preserve"> HYPERLINK "https://eur-lex.europa.eu/legal-content/EN/TXT/?uri=celex%3A31986L0278" </w:instrText>
            </w:r>
            <w:r>
              <w:fldChar w:fldCharType="separate"/>
            </w:r>
            <w:r w:rsidRPr="002253B7">
              <w:rPr>
                <w:rStyle w:val="Hyperlink"/>
                <w:rFonts w:asciiTheme="minorHAnsi" w:hAnsiTheme="minorHAnsi" w:cstheme="minorHAnsi"/>
                <w:sz w:val="22"/>
                <w:szCs w:val="22"/>
                <w:lang w:val="en-IE"/>
              </w:rPr>
              <w:t>Sewage Sludge Directive 86/278/EEC</w:t>
            </w:r>
            <w:r>
              <w:fldChar w:fldCharType="end"/>
            </w:r>
            <w:r w:rsidRPr="00BE5E29">
              <w:rPr>
                <w:rFonts w:asciiTheme="minorHAnsi" w:hAnsiTheme="minorHAnsi" w:cstheme="minorHAnsi"/>
                <w:sz w:val="22"/>
                <w:szCs w:val="22"/>
                <w:lang w:val="en-IE"/>
              </w:rPr>
              <w:t xml:space="preserve"> (henceforth the SSD or the Directive)</w:t>
            </w:r>
            <w:r w:rsidRPr="000E1534">
              <w:rPr>
                <w:rFonts w:asciiTheme="minorHAnsi" w:hAnsiTheme="minorHAnsi" w:cstheme="minorHAnsi"/>
                <w:sz w:val="22"/>
                <w:szCs w:val="22"/>
                <w:lang w:val="en-IE"/>
              </w:rPr>
              <w:t xml:space="preserve"> </w:t>
            </w:r>
            <w:r w:rsidRPr="00A043F8">
              <w:rPr>
                <w:rFonts w:asciiTheme="minorHAnsi" w:hAnsiTheme="minorHAnsi" w:cstheme="minorHAnsi"/>
                <w:sz w:val="22"/>
                <w:szCs w:val="22"/>
                <w:lang w:val="en-IE"/>
              </w:rPr>
              <w:t xml:space="preserve">was </w:t>
            </w:r>
            <w:r w:rsidRPr="00A043F8" w:rsidR="00D655A7">
              <w:rPr>
                <w:rFonts w:asciiTheme="minorHAnsi" w:hAnsiTheme="minorHAnsi" w:cstheme="minorHAnsi"/>
                <w:sz w:val="22"/>
                <w:szCs w:val="22"/>
                <w:lang w:val="en-IE"/>
              </w:rPr>
              <w:t>adopted</w:t>
            </w:r>
            <w:r w:rsidRPr="00A043F8" w:rsidR="00D655A7">
              <w:rPr>
                <w:rFonts w:asciiTheme="minorHAnsi" w:hAnsiTheme="minorHAnsi" w:cstheme="minorHAnsi"/>
                <w:sz w:val="22"/>
                <w:szCs w:val="22"/>
                <w:lang w:val="en-IE"/>
              </w:rPr>
              <w:t xml:space="preserve"> </w:t>
            </w:r>
            <w:r w:rsidRPr="00A043F8">
              <w:rPr>
                <w:rFonts w:asciiTheme="minorHAnsi" w:hAnsiTheme="minorHAnsi" w:cstheme="minorHAnsi"/>
                <w:sz w:val="22"/>
                <w:szCs w:val="22"/>
                <w:lang w:val="en-IE"/>
              </w:rPr>
              <w:t xml:space="preserve">to encourage the correct use of sewage sludge in agriculture and to regulate its use in order to prevent harmful effects on soil, vegetation, animals and humans. </w:t>
            </w:r>
            <w:r w:rsidRPr="00A043F8" w:rsidR="000E1534">
              <w:rPr>
                <w:rFonts w:asciiTheme="minorHAnsi" w:hAnsiTheme="minorHAnsi" w:cstheme="minorHAnsi"/>
                <w:sz w:val="22"/>
                <w:szCs w:val="22"/>
                <w:lang w:val="en-IE"/>
              </w:rPr>
              <w:t xml:space="preserve">The principal benefit of the </w:t>
            </w:r>
            <w:r w:rsidR="00326DE7">
              <w:rPr>
                <w:rFonts w:asciiTheme="minorHAnsi" w:hAnsiTheme="minorHAnsi" w:cstheme="minorHAnsi"/>
                <w:sz w:val="22"/>
                <w:szCs w:val="22"/>
                <w:lang w:val="en-IE"/>
              </w:rPr>
              <w:t>SSD</w:t>
            </w:r>
            <w:r w:rsidRPr="00A043F8" w:rsidR="000E1534">
              <w:rPr>
                <w:rFonts w:asciiTheme="minorHAnsi" w:hAnsiTheme="minorHAnsi" w:cstheme="minorHAnsi"/>
                <w:sz w:val="22"/>
                <w:szCs w:val="22"/>
                <w:lang w:val="en-IE"/>
              </w:rPr>
              <w:t xml:space="preserve"> is its role in the protection of human health and the environment against the harmful effects of contaminated sludge in agriculture. </w:t>
            </w:r>
            <w:r w:rsidRPr="00A043F8">
              <w:rPr>
                <w:rFonts w:asciiTheme="minorHAnsi" w:hAnsiTheme="minorHAnsi" w:cstheme="minorHAnsi"/>
                <w:sz w:val="22"/>
                <w:szCs w:val="22"/>
                <w:lang w:val="en-IE"/>
              </w:rPr>
              <w:t>To this end, it prohibit</w:t>
            </w:r>
            <w:r w:rsidRPr="00A043F8" w:rsidR="006B4A4D">
              <w:rPr>
                <w:rFonts w:asciiTheme="minorHAnsi" w:hAnsiTheme="minorHAnsi" w:cstheme="minorHAnsi"/>
                <w:sz w:val="22"/>
                <w:szCs w:val="22"/>
                <w:lang w:val="en-IE"/>
              </w:rPr>
              <w:t>s</w:t>
            </w:r>
            <w:r w:rsidRPr="00A043F8">
              <w:rPr>
                <w:rFonts w:asciiTheme="minorHAnsi" w:hAnsiTheme="minorHAnsi" w:cstheme="minorHAnsi"/>
                <w:sz w:val="22"/>
                <w:szCs w:val="22"/>
                <w:lang w:val="en-IE"/>
              </w:rPr>
              <w:t xml:space="preserve"> the use of untreated sludge on agricultural land unless it </w:t>
            </w:r>
            <w:r w:rsidRPr="00A043F8">
              <w:rPr>
                <w:rFonts w:asciiTheme="minorHAnsi" w:hAnsiTheme="minorHAnsi" w:cstheme="minorHAnsi"/>
                <w:sz w:val="22"/>
                <w:szCs w:val="22"/>
                <w:lang w:val="en-IE"/>
              </w:rPr>
              <w:t>is injected or incorporated into the soil</w:t>
            </w:r>
            <w:r w:rsidRPr="00A043F8">
              <w:rPr>
                <w:rFonts w:asciiTheme="minorHAnsi" w:hAnsiTheme="minorHAnsi" w:cstheme="minorHAnsi"/>
                <w:sz w:val="22"/>
                <w:szCs w:val="22"/>
                <w:lang w:val="en-IE"/>
              </w:rPr>
              <w:t>. The Directive also requir</w:t>
            </w:r>
            <w:r w:rsidRPr="00A043F8" w:rsidR="006B4A4D">
              <w:rPr>
                <w:rFonts w:asciiTheme="minorHAnsi" w:hAnsiTheme="minorHAnsi" w:cstheme="minorHAnsi"/>
                <w:sz w:val="22"/>
                <w:szCs w:val="22"/>
                <w:lang w:val="en-IE"/>
              </w:rPr>
              <w:t>es</w:t>
            </w:r>
            <w:r w:rsidRPr="00A043F8">
              <w:rPr>
                <w:rFonts w:asciiTheme="minorHAnsi" w:hAnsiTheme="minorHAnsi" w:cstheme="minorHAnsi"/>
                <w:sz w:val="22"/>
                <w:szCs w:val="22"/>
                <w:lang w:val="en-IE"/>
              </w:rPr>
              <w:t xml:space="preserve"> that sludge </w:t>
            </w:r>
            <w:r w:rsidRPr="00A043F8">
              <w:rPr>
                <w:rFonts w:asciiTheme="minorHAnsi" w:hAnsiTheme="minorHAnsi" w:cstheme="minorHAnsi"/>
                <w:sz w:val="22"/>
                <w:szCs w:val="22"/>
                <w:lang w:val="en-IE"/>
              </w:rPr>
              <w:t>be used</w:t>
            </w:r>
            <w:r w:rsidRPr="00A043F8">
              <w:rPr>
                <w:rFonts w:asciiTheme="minorHAnsi" w:hAnsiTheme="minorHAnsi" w:cstheme="minorHAnsi"/>
                <w:sz w:val="22"/>
                <w:szCs w:val="22"/>
                <w:lang w:val="en-IE"/>
              </w:rPr>
              <w:t xml:space="preserve"> in such a way that </w:t>
            </w:r>
            <w:r w:rsidRPr="00A043F8" w:rsidR="006B4A4D">
              <w:rPr>
                <w:rFonts w:asciiTheme="minorHAnsi" w:hAnsiTheme="minorHAnsi" w:cstheme="minorHAnsi"/>
                <w:sz w:val="22"/>
                <w:szCs w:val="22"/>
                <w:lang w:val="en-IE"/>
              </w:rPr>
              <w:t xml:space="preserve">account is taken of </w:t>
            </w:r>
            <w:r w:rsidRPr="00A043F8">
              <w:rPr>
                <w:rFonts w:asciiTheme="minorHAnsi" w:hAnsiTheme="minorHAnsi" w:cstheme="minorHAnsi"/>
                <w:sz w:val="22"/>
                <w:szCs w:val="22"/>
                <w:lang w:val="en-IE"/>
              </w:rPr>
              <w:t xml:space="preserve">the nutrient requirements of plants and that the quality of the soil and of surface and groundwater is not impaired. </w:t>
            </w:r>
          </w:p>
          <w:p w:rsidR="00DD0D65" w:rsidRPr="00A043F8" w:rsidP="00DD0D65">
            <w:pPr>
              <w:spacing w:before="60" w:after="60"/>
              <w:rPr>
                <w:rFonts w:asciiTheme="minorHAnsi" w:hAnsiTheme="minorHAnsi" w:cstheme="minorHAnsi"/>
                <w:sz w:val="22"/>
                <w:szCs w:val="22"/>
                <w:lang w:val="en-IE"/>
              </w:rPr>
            </w:pPr>
            <w:r w:rsidRPr="00A043F8">
              <w:rPr>
                <w:rFonts w:asciiTheme="minorHAnsi" w:hAnsiTheme="minorHAnsi" w:cstheme="minorHAnsi"/>
                <w:sz w:val="22"/>
                <w:szCs w:val="22"/>
                <w:lang w:val="en-IE"/>
              </w:rPr>
              <w:t xml:space="preserve">The Directive complements EU waste legislation by encouraging the safe use of sludge (moving it up the waste hierarchy), by promoting health and environmental protection (by placing limits on heavy metals), and by contributing to resource efficiency (through the recovery of useful nutrients such as phosphorus). </w:t>
            </w:r>
          </w:p>
          <w:p w:rsidR="00D73170" w:rsidRPr="00A043F8" w:rsidP="000E1534">
            <w:pPr>
              <w:spacing w:before="60" w:after="60"/>
              <w:rPr>
                <w:rFonts w:asciiTheme="minorHAnsi" w:hAnsiTheme="minorHAnsi" w:cstheme="minorHAnsi"/>
                <w:sz w:val="22"/>
                <w:szCs w:val="22"/>
                <w:lang w:val="en-IE"/>
              </w:rPr>
            </w:pPr>
            <w:r w:rsidRPr="00A043F8">
              <w:rPr>
                <w:rFonts w:asciiTheme="minorHAnsi" w:hAnsiTheme="minorHAnsi" w:cstheme="minorHAnsi"/>
                <w:sz w:val="22"/>
                <w:szCs w:val="22"/>
                <w:lang w:val="en-IE"/>
              </w:rPr>
              <w:t xml:space="preserve">The use of sludge in agriculture is an effective </w:t>
            </w:r>
            <w:r w:rsidRPr="00A043F8" w:rsidR="009C29D0">
              <w:rPr>
                <w:rFonts w:asciiTheme="minorHAnsi" w:hAnsiTheme="minorHAnsi" w:cstheme="minorHAnsi"/>
                <w:sz w:val="22"/>
                <w:szCs w:val="22"/>
                <w:lang w:val="en-IE"/>
              </w:rPr>
              <w:t xml:space="preserve">alternative </w:t>
            </w:r>
            <w:r w:rsidRPr="00A043F8">
              <w:rPr>
                <w:rFonts w:asciiTheme="minorHAnsi" w:hAnsiTheme="minorHAnsi" w:cstheme="minorHAnsi"/>
                <w:sz w:val="22"/>
                <w:szCs w:val="22"/>
                <w:lang w:val="en-IE"/>
              </w:rPr>
              <w:t>for chemical fertilisers, especially phosphorus</w:t>
            </w:r>
            <w:r w:rsidRPr="00A043F8" w:rsidR="009C29D0">
              <w:rPr>
                <w:rFonts w:asciiTheme="minorHAnsi" w:hAnsiTheme="minorHAnsi" w:cstheme="minorHAnsi"/>
                <w:sz w:val="22"/>
                <w:szCs w:val="22"/>
                <w:lang w:val="en-IE"/>
              </w:rPr>
              <w:t xml:space="preserve"> fertilisers</w:t>
            </w:r>
            <w:r w:rsidRPr="00A043F8">
              <w:rPr>
                <w:rFonts w:asciiTheme="minorHAnsi" w:hAnsiTheme="minorHAnsi" w:cstheme="minorHAnsi"/>
                <w:sz w:val="22"/>
                <w:szCs w:val="22"/>
                <w:lang w:val="en-IE"/>
              </w:rPr>
              <w:t xml:space="preserve">. The importance of recycling of materials, in line with circular economy principles, </w:t>
            </w:r>
            <w:r w:rsidRPr="00A043F8">
              <w:rPr>
                <w:rFonts w:asciiTheme="minorHAnsi" w:hAnsiTheme="minorHAnsi" w:cstheme="minorHAnsi"/>
                <w:sz w:val="22"/>
                <w:szCs w:val="22"/>
                <w:lang w:val="en-IE"/>
              </w:rPr>
              <w:t>is highlighted</w:t>
            </w:r>
            <w:r w:rsidRPr="00A043F8" w:rsidR="002253B7">
              <w:rPr>
                <w:rFonts w:asciiTheme="minorHAnsi" w:hAnsiTheme="minorHAnsi" w:cstheme="minorHAnsi"/>
                <w:sz w:val="22"/>
                <w:szCs w:val="22"/>
                <w:lang w:val="en-IE"/>
              </w:rPr>
              <w:t xml:space="preserve"> as a priority area under the </w:t>
            </w:r>
            <w:r>
              <w:fldChar w:fldCharType="begin"/>
            </w:r>
            <w:r>
              <w:instrText xml:space="preserve"> HYPERLINK "https://ec.europa.eu/info/sites/info/files/european-green-deal-communication_en.pdf" </w:instrText>
            </w:r>
            <w:r>
              <w:fldChar w:fldCharType="separate"/>
            </w:r>
            <w:r w:rsidRPr="00A043F8" w:rsidR="002253B7">
              <w:rPr>
                <w:rStyle w:val="Hyperlink"/>
                <w:rFonts w:asciiTheme="minorHAnsi" w:hAnsiTheme="minorHAnsi" w:cstheme="minorHAnsi"/>
                <w:sz w:val="22"/>
                <w:szCs w:val="22"/>
                <w:lang w:val="en-IE"/>
              </w:rPr>
              <w:t>European</w:t>
            </w:r>
            <w:r w:rsidRPr="00A043F8">
              <w:rPr>
                <w:rStyle w:val="Hyperlink"/>
                <w:rFonts w:asciiTheme="minorHAnsi" w:hAnsiTheme="minorHAnsi" w:cstheme="minorHAnsi"/>
                <w:sz w:val="22"/>
                <w:szCs w:val="22"/>
                <w:lang w:val="en-IE"/>
              </w:rPr>
              <w:t xml:space="preserve"> Green Deal</w:t>
            </w:r>
            <w:r>
              <w:fldChar w:fldCharType="end"/>
            </w:r>
            <w:r w:rsidRPr="00A043F8" w:rsidR="00805BCF">
              <w:rPr>
                <w:rStyle w:val="Hyperlink"/>
                <w:rFonts w:asciiTheme="minorHAnsi" w:hAnsiTheme="minorHAnsi" w:cstheme="minorHAnsi"/>
                <w:sz w:val="22"/>
                <w:szCs w:val="22"/>
                <w:lang w:val="en-IE"/>
              </w:rPr>
              <w:t xml:space="preserve"> </w:t>
            </w:r>
            <w:r w:rsidRPr="00A043F8" w:rsidR="00805BCF">
              <w:rPr>
                <w:rFonts w:asciiTheme="minorHAnsi" w:hAnsiTheme="minorHAnsi" w:cstheme="minorHAnsi"/>
                <w:sz w:val="22"/>
                <w:szCs w:val="22"/>
                <w:lang w:val="en-IE"/>
              </w:rPr>
              <w:t>and the</w:t>
            </w:r>
            <w:r w:rsidRPr="00A043F8" w:rsidR="00805BCF">
              <w:rPr>
                <w:rStyle w:val="Hyperlink"/>
                <w:rFonts w:asciiTheme="minorHAnsi" w:hAnsiTheme="minorHAnsi" w:cstheme="minorHAnsi"/>
                <w:sz w:val="22"/>
                <w:szCs w:val="22"/>
                <w:lang w:val="en-IE"/>
              </w:rPr>
              <w:t xml:space="preserve"> </w:t>
            </w:r>
            <w:r>
              <w:fldChar w:fldCharType="begin"/>
            </w:r>
            <w:r>
              <w:instrText xml:space="preserve"> HYPERLINK "https://ec.europa.eu/environment/circular-economy/" </w:instrText>
            </w:r>
            <w:r>
              <w:fldChar w:fldCharType="separate"/>
            </w:r>
            <w:r w:rsidRPr="00A043F8" w:rsidR="00805BCF">
              <w:rPr>
                <w:rStyle w:val="Hyperlink"/>
                <w:rFonts w:asciiTheme="minorHAnsi" w:hAnsiTheme="minorHAnsi" w:cstheme="minorHAnsi"/>
                <w:sz w:val="22"/>
                <w:szCs w:val="22"/>
                <w:lang w:val="en-IE"/>
              </w:rPr>
              <w:t>Circular Economy Action Plan</w:t>
            </w:r>
            <w:r>
              <w:fldChar w:fldCharType="end"/>
            </w:r>
            <w:r w:rsidRPr="00A043F8" w:rsidR="00F07D32">
              <w:rPr>
                <w:rStyle w:val="Hyperlink"/>
                <w:rFonts w:asciiTheme="minorHAnsi" w:hAnsiTheme="minorHAnsi" w:cstheme="minorHAnsi"/>
                <w:sz w:val="22"/>
                <w:szCs w:val="22"/>
                <w:lang w:val="en-IE"/>
              </w:rPr>
              <w:t xml:space="preserve"> (CEAP)</w:t>
            </w:r>
            <w:r w:rsidRPr="00A043F8">
              <w:rPr>
                <w:rFonts w:asciiTheme="minorHAnsi" w:hAnsiTheme="minorHAnsi" w:cstheme="minorHAnsi"/>
                <w:sz w:val="22"/>
                <w:szCs w:val="22"/>
                <w:lang w:val="en-IE"/>
              </w:rPr>
              <w:t xml:space="preserve">. Transformation of the industry and all the value chains is required for Europe to be less dependent on the extraction of </w:t>
            </w:r>
            <w:r w:rsidRPr="00A043F8" w:rsidR="009C29D0">
              <w:rPr>
                <w:rFonts w:asciiTheme="minorHAnsi" w:hAnsiTheme="minorHAnsi" w:cstheme="minorHAnsi"/>
                <w:sz w:val="22"/>
                <w:szCs w:val="22"/>
                <w:lang w:val="en-IE"/>
              </w:rPr>
              <w:t>raw</w:t>
            </w:r>
            <w:r w:rsidRPr="00A043F8">
              <w:rPr>
                <w:rFonts w:asciiTheme="minorHAnsi" w:hAnsiTheme="minorHAnsi" w:cstheme="minorHAnsi"/>
                <w:sz w:val="22"/>
                <w:szCs w:val="22"/>
                <w:lang w:val="en-IE"/>
              </w:rPr>
              <w:t xml:space="preserve"> materials. However, it is important that what is used as a resource is not </w:t>
            </w:r>
            <w:r w:rsidRPr="00A043F8">
              <w:rPr>
                <w:rFonts w:asciiTheme="minorHAnsi" w:hAnsiTheme="minorHAnsi" w:cstheme="minorHAnsi"/>
                <w:sz w:val="22"/>
                <w:szCs w:val="22"/>
                <w:lang w:val="en-IE"/>
              </w:rPr>
              <w:t>contaminat</w:t>
            </w:r>
            <w:r w:rsidRPr="00A043F8" w:rsidR="009C29D0">
              <w:rPr>
                <w:rFonts w:asciiTheme="minorHAnsi" w:hAnsiTheme="minorHAnsi" w:cstheme="minorHAnsi"/>
                <w:sz w:val="22"/>
                <w:szCs w:val="22"/>
                <w:lang w:val="en-IE"/>
              </w:rPr>
              <w:t>ed</w:t>
            </w:r>
            <w:r w:rsidRPr="00A043F8">
              <w:rPr>
                <w:rFonts w:asciiTheme="minorHAnsi" w:hAnsiTheme="minorHAnsi" w:cstheme="minorHAnsi"/>
                <w:sz w:val="22"/>
                <w:szCs w:val="22"/>
                <w:lang w:val="en-IE"/>
              </w:rPr>
              <w:t>,</w:t>
            </w:r>
            <w:r w:rsidRPr="00A043F8">
              <w:rPr>
                <w:rFonts w:asciiTheme="minorHAnsi" w:hAnsiTheme="minorHAnsi" w:cstheme="minorHAnsi"/>
                <w:sz w:val="22"/>
                <w:szCs w:val="22"/>
                <w:lang w:val="en-IE"/>
              </w:rPr>
              <w:t xml:space="preserve"> otherwise recycling will result in increasing pollution of soil, water </w:t>
            </w:r>
            <w:r w:rsidRPr="00A043F8" w:rsidR="00805BCF">
              <w:rPr>
                <w:rFonts w:asciiTheme="minorHAnsi" w:hAnsiTheme="minorHAnsi" w:cstheme="minorHAnsi"/>
                <w:sz w:val="22"/>
                <w:szCs w:val="22"/>
                <w:lang w:val="en-IE"/>
              </w:rPr>
              <w:t>and/</w:t>
            </w:r>
            <w:r w:rsidRPr="00A043F8">
              <w:rPr>
                <w:rFonts w:asciiTheme="minorHAnsi" w:hAnsiTheme="minorHAnsi" w:cstheme="minorHAnsi"/>
                <w:sz w:val="22"/>
                <w:szCs w:val="22"/>
                <w:lang w:val="en-IE"/>
              </w:rPr>
              <w:t xml:space="preserve">or air. </w:t>
            </w:r>
            <w:r w:rsidR="00307895">
              <w:rPr>
                <w:rFonts w:asciiTheme="minorHAnsi" w:hAnsiTheme="minorHAnsi" w:cstheme="minorHAnsi"/>
                <w:sz w:val="22"/>
                <w:szCs w:val="22"/>
                <w:lang w:val="en-IE"/>
              </w:rPr>
              <w:t>This is also i</w:t>
            </w:r>
            <w:r w:rsidRPr="00A043F8">
              <w:rPr>
                <w:rFonts w:asciiTheme="minorHAnsi" w:hAnsiTheme="minorHAnsi" w:cstheme="minorHAnsi"/>
                <w:sz w:val="22"/>
                <w:szCs w:val="22"/>
                <w:lang w:val="en-IE"/>
              </w:rPr>
              <w:t>n line with the Commission's zero pollution ambition</w:t>
            </w:r>
            <w:r w:rsidRPr="00A043F8" w:rsidR="00D53739">
              <w:rPr>
                <w:rFonts w:asciiTheme="minorHAnsi" w:hAnsiTheme="minorHAnsi" w:cstheme="minorHAnsi"/>
                <w:sz w:val="22"/>
                <w:szCs w:val="22"/>
                <w:lang w:val="en-IE"/>
              </w:rPr>
              <w:t xml:space="preserve"> </w:t>
            </w:r>
            <w:r w:rsidR="00307895">
              <w:rPr>
                <w:rFonts w:asciiTheme="minorHAnsi" w:hAnsiTheme="minorHAnsi" w:cstheme="minorHAnsi"/>
                <w:sz w:val="22"/>
                <w:szCs w:val="22"/>
                <w:lang w:val="en-IE"/>
              </w:rPr>
              <w:t>announced in the European Green Deal</w:t>
            </w:r>
            <w:r w:rsidR="00D379BB">
              <w:rPr>
                <w:rFonts w:asciiTheme="minorHAnsi" w:hAnsiTheme="minorHAnsi" w:cstheme="minorHAnsi"/>
                <w:sz w:val="22"/>
                <w:szCs w:val="22"/>
                <w:lang w:val="en-IE"/>
              </w:rPr>
              <w:t xml:space="preserve"> (</w:t>
            </w:r>
            <w:r w:rsidR="00307895">
              <w:rPr>
                <w:rFonts w:asciiTheme="minorHAnsi" w:hAnsiTheme="minorHAnsi" w:cstheme="minorHAnsi"/>
                <w:sz w:val="22"/>
                <w:szCs w:val="22"/>
                <w:lang w:val="en-IE"/>
              </w:rPr>
              <w:t xml:space="preserve">a strategy </w:t>
            </w:r>
            <w:r w:rsidR="00326DE7">
              <w:rPr>
                <w:rFonts w:asciiTheme="minorHAnsi" w:hAnsiTheme="minorHAnsi" w:cstheme="minorHAnsi"/>
                <w:sz w:val="22"/>
                <w:szCs w:val="22"/>
                <w:lang w:val="en-IE"/>
              </w:rPr>
              <w:t xml:space="preserve">is </w:t>
            </w:r>
            <w:r w:rsidR="00D379BB">
              <w:rPr>
                <w:rFonts w:asciiTheme="minorHAnsi" w:hAnsiTheme="minorHAnsi" w:cstheme="minorHAnsi"/>
                <w:sz w:val="22"/>
                <w:szCs w:val="22"/>
                <w:lang w:val="en-IE"/>
              </w:rPr>
              <w:t>expected</w:t>
            </w:r>
            <w:r w:rsidR="00307895">
              <w:rPr>
                <w:rFonts w:asciiTheme="minorHAnsi" w:hAnsiTheme="minorHAnsi" w:cstheme="minorHAnsi"/>
                <w:sz w:val="22"/>
                <w:szCs w:val="22"/>
                <w:lang w:val="en-IE"/>
              </w:rPr>
              <w:t xml:space="preserve"> in</w:t>
            </w:r>
            <w:r w:rsidRPr="00A043F8" w:rsidR="00D53739">
              <w:rPr>
                <w:rFonts w:asciiTheme="minorHAnsi" w:hAnsiTheme="minorHAnsi" w:cstheme="minorHAnsi"/>
                <w:sz w:val="22"/>
                <w:szCs w:val="22"/>
                <w:lang w:val="en-IE"/>
              </w:rPr>
              <w:t xml:space="preserve"> 2021</w:t>
            </w:r>
            <w:r w:rsidR="00D379BB">
              <w:rPr>
                <w:rFonts w:asciiTheme="minorHAnsi" w:hAnsiTheme="minorHAnsi" w:cstheme="minorHAnsi"/>
                <w:sz w:val="22"/>
                <w:szCs w:val="22"/>
                <w:lang w:val="en-IE"/>
              </w:rPr>
              <w:t>)</w:t>
            </w:r>
            <w:r w:rsidRPr="00A043F8">
              <w:rPr>
                <w:rFonts w:asciiTheme="minorHAnsi" w:hAnsiTheme="minorHAnsi" w:cstheme="minorHAnsi"/>
                <w:sz w:val="22"/>
                <w:szCs w:val="22"/>
                <w:lang w:val="en-IE"/>
              </w:rPr>
              <w:t>.</w:t>
            </w:r>
          </w:p>
          <w:p w:rsidR="00F07D32" w:rsidP="00705575">
            <w:pPr>
              <w:spacing w:before="60" w:after="60"/>
              <w:rPr>
                <w:rFonts w:asciiTheme="minorHAnsi" w:hAnsiTheme="minorHAnsi" w:cstheme="minorHAnsi"/>
                <w:sz w:val="22"/>
                <w:szCs w:val="22"/>
                <w:lang w:val="en-IE"/>
              </w:rPr>
            </w:pPr>
            <w:r w:rsidRPr="00A043F8">
              <w:rPr>
                <w:rFonts w:asciiTheme="minorHAnsi" w:hAnsiTheme="minorHAnsi" w:cstheme="minorHAnsi"/>
                <w:sz w:val="22"/>
                <w:szCs w:val="22"/>
                <w:lang w:val="en-IE"/>
              </w:rPr>
              <w:t xml:space="preserve">In 2014, the Directive </w:t>
            </w:r>
            <w:r w:rsidRPr="00A043F8">
              <w:rPr>
                <w:rFonts w:asciiTheme="minorHAnsi" w:hAnsiTheme="minorHAnsi" w:cstheme="minorHAnsi"/>
                <w:sz w:val="22"/>
                <w:szCs w:val="22"/>
                <w:lang w:val="en-IE"/>
              </w:rPr>
              <w:t>was evaluated</w:t>
            </w:r>
            <w:r w:rsidRPr="00A043F8">
              <w:rPr>
                <w:rFonts w:asciiTheme="minorHAnsi" w:hAnsiTheme="minorHAnsi" w:cstheme="minorHAnsi"/>
                <w:sz w:val="22"/>
                <w:szCs w:val="22"/>
                <w:lang w:val="en-IE"/>
              </w:rPr>
              <w:t xml:space="preserve"> as part of a</w:t>
            </w:r>
            <w:r w:rsidRPr="00A043F8" w:rsidR="00756A94">
              <w:rPr>
                <w:rFonts w:asciiTheme="minorHAnsi" w:hAnsiTheme="minorHAnsi" w:cstheme="minorHAnsi"/>
                <w:sz w:val="22"/>
                <w:szCs w:val="22"/>
                <w:lang w:val="en-IE"/>
              </w:rPr>
              <w:t>n "</w:t>
            </w:r>
            <w:r>
              <w:fldChar w:fldCharType="begin"/>
            </w:r>
            <w:r>
              <w:instrText xml:space="preserve"> HYPERLINK "https://ec.europa.eu/environment/waste/pdf/target_review/Final%20Report%20Ex-Post.pdf" </w:instrText>
            </w:r>
            <w:r>
              <w:fldChar w:fldCharType="separate"/>
            </w:r>
            <w:r w:rsidRPr="00A043F8" w:rsidR="00756A94">
              <w:rPr>
                <w:rStyle w:val="Hyperlink"/>
                <w:rFonts w:asciiTheme="minorHAnsi" w:hAnsiTheme="minorHAnsi" w:cstheme="minorHAnsi"/>
                <w:sz w:val="22"/>
                <w:szCs w:val="22"/>
                <w:lang w:val="en-IE"/>
              </w:rPr>
              <w:t>Ex-post evaluation of certain waste stream directives</w:t>
            </w:r>
            <w:r>
              <w:fldChar w:fldCharType="end"/>
            </w:r>
            <w:r w:rsidRPr="00A043F8" w:rsidR="00756A94">
              <w:rPr>
                <w:rFonts w:asciiTheme="minorHAnsi" w:hAnsiTheme="minorHAnsi" w:cstheme="minorHAnsi"/>
                <w:sz w:val="22"/>
                <w:szCs w:val="22"/>
                <w:lang w:val="en-IE"/>
              </w:rPr>
              <w:t>"</w:t>
            </w:r>
            <w:r w:rsidRPr="00A043F8" w:rsidR="006B4A4D">
              <w:rPr>
                <w:rFonts w:asciiTheme="minorHAnsi" w:hAnsiTheme="minorHAnsi" w:cstheme="minorHAnsi"/>
                <w:sz w:val="22"/>
                <w:szCs w:val="22"/>
                <w:lang w:val="en-IE"/>
              </w:rPr>
              <w:t xml:space="preserve"> and the evaluation identified</w:t>
            </w:r>
            <w:r w:rsidRPr="00A043F8">
              <w:rPr>
                <w:rFonts w:asciiTheme="minorHAnsi" w:hAnsiTheme="minorHAnsi" w:cstheme="minorHAnsi"/>
                <w:sz w:val="22"/>
                <w:szCs w:val="22"/>
                <w:lang w:val="en-IE"/>
              </w:rPr>
              <w:t xml:space="preserve"> a number of shortcomings, </w:t>
            </w:r>
            <w:r w:rsidRPr="00A043F8" w:rsidR="008F4042">
              <w:rPr>
                <w:rFonts w:asciiTheme="minorHAnsi" w:hAnsiTheme="minorHAnsi" w:cstheme="minorHAnsi"/>
                <w:sz w:val="22"/>
                <w:szCs w:val="22"/>
                <w:lang w:val="en-IE"/>
              </w:rPr>
              <w:t xml:space="preserve">which were largely related to the fact that the Directive was adopted 30 years </w:t>
            </w:r>
            <w:r w:rsidRPr="00A043F8" w:rsidR="00D53739">
              <w:rPr>
                <w:rFonts w:asciiTheme="minorHAnsi" w:hAnsiTheme="minorHAnsi" w:cstheme="minorHAnsi"/>
                <w:sz w:val="22"/>
                <w:szCs w:val="22"/>
                <w:lang w:val="en-IE"/>
              </w:rPr>
              <w:t>earlier</w:t>
            </w:r>
            <w:r w:rsidRPr="00A043F8" w:rsidR="007A4650">
              <w:rPr>
                <w:rFonts w:asciiTheme="minorHAnsi" w:hAnsiTheme="minorHAnsi" w:cstheme="minorHAnsi"/>
                <w:sz w:val="22"/>
                <w:szCs w:val="22"/>
                <w:lang w:val="en-IE"/>
              </w:rPr>
              <w:t xml:space="preserve"> </w:t>
            </w:r>
            <w:r w:rsidRPr="00A043F8" w:rsidR="008F4042">
              <w:rPr>
                <w:rFonts w:asciiTheme="minorHAnsi" w:hAnsiTheme="minorHAnsi" w:cstheme="minorHAnsi"/>
                <w:sz w:val="22"/>
                <w:szCs w:val="22"/>
                <w:lang w:val="en-IE"/>
              </w:rPr>
              <w:t>and it d</w:t>
            </w:r>
            <w:r w:rsidRPr="00A043F8" w:rsidR="00D53739">
              <w:rPr>
                <w:rFonts w:asciiTheme="minorHAnsi" w:hAnsiTheme="minorHAnsi" w:cstheme="minorHAnsi"/>
                <w:sz w:val="22"/>
                <w:szCs w:val="22"/>
                <w:lang w:val="en-IE"/>
              </w:rPr>
              <w:t>id</w:t>
            </w:r>
            <w:r w:rsidRPr="00A043F8" w:rsidR="008F4042">
              <w:rPr>
                <w:rFonts w:asciiTheme="minorHAnsi" w:hAnsiTheme="minorHAnsi" w:cstheme="minorHAnsi"/>
                <w:sz w:val="22"/>
                <w:szCs w:val="22"/>
                <w:lang w:val="en-IE"/>
              </w:rPr>
              <w:t xml:space="preserve"> not fully match the</w:t>
            </w:r>
            <w:r w:rsidRPr="00A043F8" w:rsidR="00D53739">
              <w:rPr>
                <w:rFonts w:asciiTheme="minorHAnsi" w:hAnsiTheme="minorHAnsi" w:cstheme="minorHAnsi"/>
                <w:sz w:val="22"/>
                <w:szCs w:val="22"/>
                <w:lang w:val="en-IE"/>
              </w:rPr>
              <w:t xml:space="preserve"> contemporary</w:t>
            </w:r>
            <w:r w:rsidRPr="00A043F8" w:rsidR="008F4042">
              <w:rPr>
                <w:rFonts w:asciiTheme="minorHAnsi" w:hAnsiTheme="minorHAnsi" w:cstheme="minorHAnsi"/>
                <w:sz w:val="22"/>
                <w:szCs w:val="22"/>
                <w:lang w:val="en-IE"/>
              </w:rPr>
              <w:t xml:space="preserve"> needs and expectations. Th</w:t>
            </w:r>
            <w:r w:rsidRPr="00A043F8" w:rsidR="00D53739">
              <w:rPr>
                <w:rFonts w:asciiTheme="minorHAnsi" w:hAnsiTheme="minorHAnsi" w:cstheme="minorHAnsi"/>
                <w:sz w:val="22"/>
                <w:szCs w:val="22"/>
                <w:lang w:val="en-IE"/>
              </w:rPr>
              <w:t>e identified issues concerned</w:t>
            </w:r>
            <w:r w:rsidRPr="00A043F8" w:rsidR="008F4042">
              <w:rPr>
                <w:rFonts w:asciiTheme="minorHAnsi" w:hAnsiTheme="minorHAnsi" w:cstheme="minorHAnsi"/>
                <w:sz w:val="22"/>
                <w:szCs w:val="22"/>
                <w:lang w:val="en-IE"/>
              </w:rPr>
              <w:t xml:space="preserve"> </w:t>
            </w:r>
            <w:r w:rsidRPr="00A043F8" w:rsidR="00D53739">
              <w:rPr>
                <w:rFonts w:asciiTheme="minorHAnsi" w:hAnsiTheme="minorHAnsi" w:cstheme="minorHAnsi"/>
                <w:sz w:val="22"/>
                <w:szCs w:val="22"/>
                <w:lang w:val="en-IE"/>
              </w:rPr>
              <w:t>the SSD</w:t>
            </w:r>
            <w:r w:rsidRPr="00A043F8">
              <w:rPr>
                <w:rFonts w:asciiTheme="minorHAnsi" w:hAnsiTheme="minorHAnsi" w:cstheme="minorHAnsi"/>
                <w:sz w:val="22"/>
                <w:szCs w:val="22"/>
                <w:lang w:val="en-IE"/>
              </w:rPr>
              <w:t xml:space="preserve"> contribution to </w:t>
            </w:r>
            <w:r w:rsidRPr="00A043F8" w:rsidR="00D53739">
              <w:rPr>
                <w:rFonts w:asciiTheme="minorHAnsi" w:hAnsiTheme="minorHAnsi" w:cstheme="minorHAnsi"/>
                <w:sz w:val="22"/>
                <w:szCs w:val="22"/>
                <w:lang w:val="en-IE"/>
              </w:rPr>
              <w:t xml:space="preserve">the EU </w:t>
            </w:r>
            <w:r w:rsidRPr="00A043F8">
              <w:rPr>
                <w:rFonts w:asciiTheme="minorHAnsi" w:hAnsiTheme="minorHAnsi" w:cstheme="minorHAnsi"/>
                <w:sz w:val="22"/>
                <w:szCs w:val="22"/>
                <w:lang w:val="en-IE"/>
              </w:rPr>
              <w:t xml:space="preserve">circular economy </w:t>
            </w:r>
            <w:r w:rsidRPr="00A043F8" w:rsidR="00D53739">
              <w:rPr>
                <w:rFonts w:asciiTheme="minorHAnsi" w:hAnsiTheme="minorHAnsi" w:cstheme="minorHAnsi"/>
                <w:sz w:val="22"/>
                <w:szCs w:val="22"/>
                <w:lang w:val="en-IE"/>
              </w:rPr>
              <w:t>ambitions</w:t>
            </w:r>
            <w:r w:rsidRPr="00A043F8">
              <w:rPr>
                <w:rFonts w:asciiTheme="minorHAnsi" w:hAnsiTheme="minorHAnsi" w:cstheme="minorHAnsi"/>
                <w:sz w:val="22"/>
                <w:szCs w:val="22"/>
                <w:lang w:val="en-IE"/>
              </w:rPr>
              <w:t xml:space="preserve">, pollutants in sludge including contaminants of </w:t>
            </w:r>
            <w:r w:rsidRPr="00A043F8" w:rsidR="00805BCF">
              <w:rPr>
                <w:rFonts w:asciiTheme="minorHAnsi" w:hAnsiTheme="minorHAnsi" w:cstheme="minorHAnsi"/>
                <w:sz w:val="22"/>
                <w:szCs w:val="22"/>
                <w:lang w:val="en-IE"/>
              </w:rPr>
              <w:t xml:space="preserve">emerging </w:t>
            </w:r>
            <w:r w:rsidRPr="00A043F8">
              <w:rPr>
                <w:rFonts w:asciiTheme="minorHAnsi" w:hAnsiTheme="minorHAnsi" w:cstheme="minorHAnsi"/>
                <w:sz w:val="22"/>
                <w:szCs w:val="22"/>
                <w:lang w:val="en-IE"/>
              </w:rPr>
              <w:t>concern (e.g.</w:t>
            </w:r>
            <w:r w:rsidRPr="00A043F8" w:rsidR="009C29D0">
              <w:rPr>
                <w:rFonts w:asciiTheme="minorHAnsi" w:hAnsiTheme="minorHAnsi" w:cstheme="minorHAnsi"/>
                <w:sz w:val="22"/>
                <w:szCs w:val="22"/>
                <w:lang w:val="en-IE"/>
              </w:rPr>
              <w:t xml:space="preserve"> </w:t>
            </w:r>
            <w:r w:rsidR="00307895">
              <w:rPr>
                <w:rFonts w:asciiTheme="minorHAnsi" w:hAnsiTheme="minorHAnsi" w:cstheme="minorHAnsi"/>
                <w:sz w:val="22"/>
                <w:szCs w:val="22"/>
                <w:lang w:val="en-IE"/>
              </w:rPr>
              <w:t>o</w:t>
            </w:r>
            <w:r w:rsidRPr="00A043F8" w:rsidR="009C29D0">
              <w:rPr>
                <w:rFonts w:asciiTheme="minorHAnsi" w:hAnsiTheme="minorHAnsi" w:cstheme="minorHAnsi"/>
                <w:sz w:val="22"/>
                <w:szCs w:val="22"/>
                <w:lang w:val="en-IE"/>
              </w:rPr>
              <w:t xml:space="preserve">rganic </w:t>
            </w:r>
            <w:r w:rsidRPr="00A043F8" w:rsidR="00D655A7">
              <w:rPr>
                <w:rFonts w:asciiTheme="minorHAnsi" w:hAnsiTheme="minorHAnsi" w:cstheme="minorHAnsi"/>
                <w:sz w:val="22"/>
                <w:szCs w:val="22"/>
                <w:lang w:val="en-IE"/>
              </w:rPr>
              <w:t>chemicals</w:t>
            </w:r>
            <w:r w:rsidRPr="00A043F8" w:rsidR="009C29D0">
              <w:rPr>
                <w:rFonts w:asciiTheme="minorHAnsi" w:hAnsiTheme="minorHAnsi" w:cstheme="minorHAnsi"/>
                <w:sz w:val="22"/>
                <w:szCs w:val="22"/>
                <w:lang w:val="en-IE"/>
              </w:rPr>
              <w:t xml:space="preserve"> such as </w:t>
            </w:r>
            <w:r w:rsidRPr="00A043F8">
              <w:rPr>
                <w:rFonts w:asciiTheme="minorHAnsi" w:hAnsiTheme="minorHAnsi" w:cstheme="minorHAnsi"/>
                <w:sz w:val="22"/>
                <w:szCs w:val="22"/>
                <w:lang w:val="en-IE"/>
              </w:rPr>
              <w:t>pharmaceuticals</w:t>
            </w:r>
            <w:r w:rsidRPr="00A043F8" w:rsidR="009C29D0">
              <w:rPr>
                <w:rFonts w:asciiTheme="minorHAnsi" w:hAnsiTheme="minorHAnsi" w:cstheme="minorHAnsi"/>
                <w:sz w:val="22"/>
                <w:szCs w:val="22"/>
                <w:lang w:val="en-IE"/>
              </w:rPr>
              <w:t>, PAH and PFAS</w:t>
            </w:r>
            <w:r w:rsidRPr="00A043F8" w:rsidR="00D53739">
              <w:rPr>
                <w:rFonts w:asciiTheme="minorHAnsi" w:hAnsiTheme="minorHAnsi" w:cstheme="minorHAnsi"/>
                <w:sz w:val="22"/>
                <w:szCs w:val="22"/>
                <w:lang w:val="en-IE"/>
              </w:rPr>
              <w:t>, cosmetics</w:t>
            </w:r>
            <w:r w:rsidRPr="00A043F8">
              <w:rPr>
                <w:rFonts w:asciiTheme="minorHAnsi" w:hAnsiTheme="minorHAnsi" w:cstheme="minorHAnsi"/>
                <w:sz w:val="22"/>
                <w:szCs w:val="22"/>
                <w:lang w:val="en-IE"/>
              </w:rPr>
              <w:t xml:space="preserve"> and </w:t>
            </w:r>
            <w:r w:rsidRPr="00A043F8">
              <w:rPr>
                <w:rFonts w:asciiTheme="minorHAnsi" w:hAnsiTheme="minorHAnsi" w:cstheme="minorHAnsi"/>
                <w:sz w:val="22"/>
                <w:szCs w:val="22"/>
                <w:lang w:val="en-IE"/>
              </w:rPr>
              <w:t>microplastics</w:t>
            </w:r>
            <w:r w:rsidRPr="00A043F8">
              <w:rPr>
                <w:rFonts w:asciiTheme="minorHAnsi" w:hAnsiTheme="minorHAnsi" w:cstheme="minorHAnsi"/>
                <w:sz w:val="22"/>
                <w:szCs w:val="22"/>
                <w:lang w:val="en-IE"/>
              </w:rPr>
              <w:t>), the potential need to regulate other uses of</w:t>
            </w:r>
            <w:r w:rsidRPr="00A043F8">
              <w:rPr>
                <w:rFonts w:asciiTheme="minorHAnsi" w:hAnsiTheme="minorHAnsi" w:cstheme="minorHAnsi"/>
                <w:sz w:val="22"/>
                <w:szCs w:val="22"/>
              </w:rPr>
              <w:t xml:space="preserve"> (treated) sewage s</w:t>
            </w:r>
            <w:r w:rsidRPr="00BA3FE1">
              <w:rPr>
                <w:rFonts w:asciiTheme="minorHAnsi" w:hAnsiTheme="minorHAnsi" w:cstheme="minorHAnsi"/>
                <w:sz w:val="22"/>
                <w:szCs w:val="22"/>
              </w:rPr>
              <w:t>ludge,</w:t>
            </w:r>
            <w:r w:rsidRPr="00BA3FE1">
              <w:rPr>
                <w:rFonts w:asciiTheme="minorHAnsi" w:hAnsiTheme="minorHAnsi" w:cstheme="minorHAnsi"/>
                <w:sz w:val="22"/>
                <w:szCs w:val="22"/>
                <w:lang w:val="en-IE"/>
              </w:rPr>
              <w:t xml:space="preserve"> and the</w:t>
            </w:r>
            <w:r w:rsidRPr="00BA3FE1" w:rsidR="008F2654">
              <w:rPr>
                <w:rFonts w:asciiTheme="minorHAnsi" w:hAnsiTheme="minorHAnsi" w:cstheme="minorHAnsi"/>
                <w:sz w:val="22"/>
                <w:szCs w:val="22"/>
                <w:lang w:val="en-IE"/>
              </w:rPr>
              <w:t xml:space="preserve"> potential</w:t>
            </w:r>
            <w:r w:rsidRPr="00BA3FE1">
              <w:rPr>
                <w:rFonts w:asciiTheme="minorHAnsi" w:hAnsiTheme="minorHAnsi" w:cstheme="minorHAnsi"/>
                <w:sz w:val="22"/>
                <w:szCs w:val="22"/>
                <w:lang w:val="en-IE"/>
              </w:rPr>
              <w:t xml:space="preserve"> impact of the </w:t>
            </w:r>
            <w:r>
              <w:fldChar w:fldCharType="begin"/>
            </w:r>
            <w:r>
              <w:instrText xml:space="preserve"> HYPERLINK "https://eur-lex.europa.eu/legal-content/EN/TXT/?uri=CELEX%3A31991L0271" </w:instrText>
            </w:r>
            <w:r>
              <w:fldChar w:fldCharType="separate"/>
            </w:r>
            <w:r w:rsidRPr="00BA3FE1">
              <w:rPr>
                <w:rStyle w:val="Hyperlink"/>
                <w:rFonts w:asciiTheme="minorHAnsi" w:hAnsiTheme="minorHAnsi" w:cstheme="minorHAnsi"/>
                <w:sz w:val="22"/>
                <w:szCs w:val="22"/>
                <w:lang w:val="en-IE"/>
              </w:rPr>
              <w:t xml:space="preserve">Urban Waste </w:t>
            </w:r>
            <w:r w:rsidRPr="00BA3FE1" w:rsidR="001655EF">
              <w:rPr>
                <w:rStyle w:val="Hyperlink"/>
                <w:rFonts w:asciiTheme="minorHAnsi" w:hAnsiTheme="minorHAnsi" w:cstheme="minorHAnsi"/>
                <w:sz w:val="22"/>
                <w:szCs w:val="22"/>
                <w:lang w:val="en-IE"/>
              </w:rPr>
              <w:t xml:space="preserve">Water </w:t>
            </w:r>
            <w:r w:rsidRPr="00BA3FE1">
              <w:rPr>
                <w:rStyle w:val="Hyperlink"/>
                <w:rFonts w:asciiTheme="minorHAnsi" w:hAnsiTheme="minorHAnsi" w:cstheme="minorHAnsi"/>
                <w:sz w:val="22"/>
                <w:szCs w:val="22"/>
                <w:lang w:val="en-IE"/>
              </w:rPr>
              <w:t>Treatment Directive 91/271/EEC</w:t>
            </w:r>
            <w:r>
              <w:fldChar w:fldCharType="end"/>
            </w:r>
            <w:r w:rsidRPr="00BA3FE1">
              <w:rPr>
                <w:rFonts w:asciiTheme="minorHAnsi" w:hAnsiTheme="minorHAnsi" w:cstheme="minorHAnsi"/>
                <w:sz w:val="22"/>
                <w:szCs w:val="22"/>
                <w:lang w:val="en-IE"/>
              </w:rPr>
              <w:t xml:space="preserve"> (UWWTD)</w:t>
            </w:r>
            <w:r w:rsidRPr="00BA3FE1" w:rsidR="008F2654">
              <w:rPr>
                <w:rFonts w:asciiTheme="minorHAnsi" w:hAnsiTheme="minorHAnsi" w:cstheme="minorHAnsi"/>
                <w:sz w:val="22"/>
                <w:szCs w:val="22"/>
                <w:lang w:val="en-IE"/>
              </w:rPr>
              <w:t xml:space="preserve">. </w:t>
            </w:r>
            <w:r w:rsidRPr="00BA3FE1">
              <w:rPr>
                <w:rFonts w:asciiTheme="minorHAnsi" w:hAnsiTheme="minorHAnsi" w:cstheme="minorHAnsi"/>
                <w:sz w:val="22"/>
                <w:szCs w:val="22"/>
                <w:lang w:val="en-IE"/>
              </w:rPr>
              <w:t xml:space="preserve"> </w:t>
            </w:r>
          </w:p>
          <w:p w:rsidR="008F2654" w:rsidRPr="000E1534" w:rsidP="00A043F8">
            <w:pPr>
              <w:spacing w:before="60" w:after="60"/>
              <w:rPr>
                <w:rFonts w:asciiTheme="minorHAnsi" w:hAnsiTheme="minorHAnsi" w:cstheme="minorHAnsi"/>
                <w:sz w:val="22"/>
                <w:szCs w:val="22"/>
              </w:rPr>
            </w:pPr>
            <w:r>
              <w:rPr>
                <w:rFonts w:asciiTheme="minorHAnsi" w:hAnsiTheme="minorHAnsi" w:cstheme="minorHAnsi"/>
                <w:sz w:val="22"/>
                <w:szCs w:val="22"/>
              </w:rPr>
              <w:t xml:space="preserve">Since </w:t>
            </w:r>
            <w:r w:rsidRPr="002E0B33">
              <w:rPr>
                <w:rFonts w:asciiTheme="minorHAnsi" w:hAnsiTheme="minorHAnsi" w:cstheme="minorHAnsi"/>
                <w:sz w:val="22"/>
                <w:szCs w:val="22"/>
              </w:rPr>
              <w:t xml:space="preserve">then, there have been </w:t>
            </w:r>
            <w:r w:rsidRPr="002E0B33">
              <w:rPr>
                <w:rFonts w:asciiTheme="minorHAnsi" w:hAnsiTheme="minorHAnsi" w:cstheme="minorHAnsi"/>
                <w:sz w:val="22"/>
                <w:szCs w:val="22"/>
                <w:lang w:val="en-IE"/>
              </w:rPr>
              <w:t xml:space="preserve">scientific </w:t>
            </w:r>
            <w:r w:rsidRPr="002E0B33" w:rsidR="009C29D0">
              <w:rPr>
                <w:rFonts w:asciiTheme="minorHAnsi" w:hAnsiTheme="minorHAnsi" w:cstheme="minorHAnsi"/>
                <w:sz w:val="22"/>
                <w:szCs w:val="22"/>
                <w:lang w:val="en-IE"/>
              </w:rPr>
              <w:t xml:space="preserve">progress </w:t>
            </w:r>
            <w:r w:rsidRPr="002E0B33">
              <w:rPr>
                <w:rFonts w:asciiTheme="minorHAnsi" w:hAnsiTheme="minorHAnsi" w:cstheme="minorHAnsi"/>
                <w:sz w:val="22"/>
                <w:szCs w:val="22"/>
                <w:lang w:val="en-IE"/>
              </w:rPr>
              <w:t xml:space="preserve">and </w:t>
            </w:r>
            <w:r w:rsidRPr="002E0B33" w:rsidR="00F07D32">
              <w:rPr>
                <w:rFonts w:asciiTheme="minorHAnsi" w:hAnsiTheme="minorHAnsi" w:cstheme="minorHAnsi"/>
                <w:sz w:val="22"/>
                <w:szCs w:val="22"/>
                <w:lang w:val="en-IE"/>
              </w:rPr>
              <w:t xml:space="preserve">technological developments </w:t>
            </w:r>
            <w:r w:rsidRPr="002E0B33">
              <w:rPr>
                <w:rFonts w:asciiTheme="minorHAnsi" w:hAnsiTheme="minorHAnsi" w:cstheme="minorHAnsi"/>
                <w:sz w:val="22"/>
                <w:szCs w:val="22"/>
                <w:lang w:val="en-IE"/>
              </w:rPr>
              <w:t>as well as changes in the</w:t>
            </w:r>
            <w:r w:rsidRPr="002E0B33" w:rsidR="00F07D32">
              <w:rPr>
                <w:rFonts w:asciiTheme="minorHAnsi" w:hAnsiTheme="minorHAnsi" w:cstheme="minorHAnsi"/>
                <w:sz w:val="22"/>
                <w:szCs w:val="22"/>
                <w:lang w:val="en-IE"/>
              </w:rPr>
              <w:t xml:space="preserve"> policy landscape resulting from the </w:t>
            </w:r>
            <w:r>
              <w:fldChar w:fldCharType="begin"/>
            </w:r>
            <w:r>
              <w:instrText xml:space="preserve"> HYPERLINK "https://eur-lex.europa.eu/legal-content/EN/TXT/?uri=CELEX%3A52015DC0614" </w:instrText>
            </w:r>
            <w:r>
              <w:fldChar w:fldCharType="separate"/>
            </w:r>
            <w:r w:rsidRPr="002E0B33" w:rsidR="001A689C">
              <w:rPr>
                <w:rStyle w:val="Hyperlink"/>
                <w:rFonts w:asciiTheme="minorHAnsi" w:hAnsiTheme="minorHAnsi" w:cstheme="minorHAnsi"/>
                <w:sz w:val="22"/>
                <w:szCs w:val="22"/>
                <w:lang w:val="en-IE"/>
              </w:rPr>
              <w:t>first</w:t>
            </w:r>
            <w:r>
              <w:fldChar w:fldCharType="end"/>
            </w:r>
            <w:r w:rsidRPr="002E0B33" w:rsidR="001A689C">
              <w:rPr>
                <w:rFonts w:asciiTheme="minorHAnsi" w:hAnsiTheme="minorHAnsi" w:cstheme="minorHAnsi"/>
                <w:sz w:val="22"/>
                <w:szCs w:val="22"/>
                <w:lang w:val="en-IE"/>
              </w:rPr>
              <w:t xml:space="preserve"> and </w:t>
            </w:r>
            <w:r>
              <w:fldChar w:fldCharType="begin"/>
            </w:r>
            <w:r>
              <w:instrText xml:space="preserve"> HYPERLINK "https://ec.europa.eu/environment/circular-economy/" </w:instrText>
            </w:r>
            <w:r>
              <w:fldChar w:fldCharType="separate"/>
            </w:r>
            <w:r w:rsidRPr="002E0B33" w:rsidR="001A689C">
              <w:rPr>
                <w:rStyle w:val="Hyperlink"/>
                <w:rFonts w:asciiTheme="minorHAnsi" w:hAnsiTheme="minorHAnsi" w:cstheme="minorHAnsi"/>
                <w:sz w:val="22"/>
                <w:szCs w:val="22"/>
                <w:lang w:val="en-IE"/>
              </w:rPr>
              <w:t>second CEAP</w:t>
            </w:r>
            <w:r>
              <w:fldChar w:fldCharType="end"/>
            </w:r>
            <w:r w:rsidRPr="002E0B33" w:rsidR="00F07D32">
              <w:rPr>
                <w:rFonts w:asciiTheme="minorHAnsi" w:hAnsiTheme="minorHAnsi" w:cstheme="minorHAnsi"/>
                <w:sz w:val="22"/>
                <w:szCs w:val="22"/>
                <w:lang w:val="en-IE"/>
              </w:rPr>
              <w:t xml:space="preserve">, the </w:t>
            </w:r>
            <w:r>
              <w:fldChar w:fldCharType="begin"/>
            </w:r>
            <w:r>
              <w:instrText xml:space="preserve"> HYPERLINK "https://ec.europa.eu/commission/news/new-bioeconomy-strategy-sustainable-europe-2018-oct-11-0_en" </w:instrText>
            </w:r>
            <w:r>
              <w:fldChar w:fldCharType="separate"/>
            </w:r>
            <w:r w:rsidRPr="002E0B33" w:rsidR="001A689C">
              <w:rPr>
                <w:rStyle w:val="Hyperlink"/>
                <w:rFonts w:asciiTheme="minorHAnsi" w:hAnsiTheme="minorHAnsi" w:cstheme="minorHAnsi"/>
                <w:sz w:val="22"/>
                <w:szCs w:val="22"/>
                <w:lang w:val="en-IE"/>
              </w:rPr>
              <w:t>Bioeconomy</w:t>
            </w:r>
            <w:r w:rsidRPr="002E0B33" w:rsidR="001A689C">
              <w:rPr>
                <w:rStyle w:val="Hyperlink"/>
                <w:rFonts w:asciiTheme="minorHAnsi" w:hAnsiTheme="minorHAnsi" w:cstheme="minorHAnsi"/>
                <w:sz w:val="22"/>
                <w:szCs w:val="22"/>
                <w:lang w:val="en-IE"/>
              </w:rPr>
              <w:t xml:space="preserve"> Strategy</w:t>
            </w:r>
            <w:r>
              <w:fldChar w:fldCharType="end"/>
            </w:r>
            <w:r w:rsidRPr="002E0B33" w:rsidR="00F07D32">
              <w:rPr>
                <w:rFonts w:asciiTheme="minorHAnsi" w:hAnsiTheme="minorHAnsi" w:cstheme="minorHAnsi"/>
                <w:sz w:val="22"/>
                <w:szCs w:val="22"/>
                <w:lang w:val="en-IE"/>
              </w:rPr>
              <w:t xml:space="preserve">, the new </w:t>
            </w:r>
            <w:r>
              <w:fldChar w:fldCharType="begin"/>
            </w:r>
            <w:r>
              <w:instrText xml:space="preserve"> HYPERLINK "https://eur-lex.europa.eu/legal-content/EN/TXT/?uri=CELEX%3A32019R1009" </w:instrText>
            </w:r>
            <w:r>
              <w:fldChar w:fldCharType="separate"/>
            </w:r>
            <w:r w:rsidRPr="002E0B33" w:rsidR="001A689C">
              <w:rPr>
                <w:rStyle w:val="Hyperlink"/>
                <w:rFonts w:asciiTheme="minorHAnsi" w:hAnsiTheme="minorHAnsi" w:cstheme="minorHAnsi"/>
                <w:sz w:val="22"/>
                <w:szCs w:val="22"/>
                <w:lang w:val="en-IE"/>
              </w:rPr>
              <w:t>Fertilising Products Regulation</w:t>
            </w:r>
            <w:r>
              <w:fldChar w:fldCharType="end"/>
            </w:r>
            <w:r w:rsidRPr="002E0B33" w:rsidR="00F07D32">
              <w:rPr>
                <w:rFonts w:asciiTheme="minorHAnsi" w:hAnsiTheme="minorHAnsi" w:cstheme="minorHAnsi"/>
                <w:sz w:val="22"/>
                <w:szCs w:val="22"/>
                <w:lang w:val="en-IE"/>
              </w:rPr>
              <w:t xml:space="preserve">, the </w:t>
            </w:r>
            <w:r>
              <w:fldChar w:fldCharType="begin"/>
            </w:r>
            <w:r>
              <w:instrText xml:space="preserve"> HYPERLINK "https://ec.europa.eu/food/farm2fork_en" </w:instrText>
            </w:r>
            <w:r>
              <w:fldChar w:fldCharType="separate"/>
            </w:r>
            <w:r w:rsidRPr="002E0B33" w:rsidR="001A689C">
              <w:rPr>
                <w:rStyle w:val="Hyperlink"/>
                <w:rFonts w:asciiTheme="minorHAnsi" w:hAnsiTheme="minorHAnsi" w:cstheme="minorHAnsi"/>
                <w:sz w:val="22"/>
                <w:szCs w:val="22"/>
                <w:lang w:val="en-IE"/>
              </w:rPr>
              <w:t>Farm to Fork Strategy</w:t>
            </w:r>
            <w:r>
              <w:fldChar w:fldCharType="end"/>
            </w:r>
            <w:r w:rsidRPr="002E0B33">
              <w:rPr>
                <w:rFonts w:asciiTheme="minorHAnsi" w:hAnsiTheme="minorHAnsi" w:cstheme="minorHAnsi"/>
                <w:sz w:val="22"/>
                <w:szCs w:val="22"/>
                <w:lang w:val="en-IE"/>
              </w:rPr>
              <w:t xml:space="preserve">, </w:t>
            </w:r>
            <w:r w:rsidRPr="002E0B33" w:rsidR="008F4E32">
              <w:rPr>
                <w:rFonts w:asciiTheme="minorHAnsi" w:hAnsiTheme="minorHAnsi" w:cstheme="minorHAnsi"/>
                <w:sz w:val="22"/>
                <w:szCs w:val="22"/>
                <w:lang w:val="en-IE"/>
              </w:rPr>
              <w:t xml:space="preserve">the </w:t>
            </w:r>
            <w:r>
              <w:fldChar w:fldCharType="begin"/>
            </w:r>
            <w:r>
              <w:instrText xml:space="preserve"> HYPERLINK "https://ec.europa.eu/environment/nature/biodiversity/strategy/index_en.htm" </w:instrText>
            </w:r>
            <w:r>
              <w:fldChar w:fldCharType="separate"/>
            </w:r>
            <w:r w:rsidRPr="002E0B33" w:rsidR="001A689C">
              <w:rPr>
                <w:rStyle w:val="Hyperlink"/>
                <w:rFonts w:asciiTheme="minorHAnsi" w:hAnsiTheme="minorHAnsi" w:cstheme="minorHAnsi"/>
                <w:sz w:val="22"/>
                <w:szCs w:val="22"/>
                <w:lang w:val="en-IE"/>
              </w:rPr>
              <w:t>EU Biodiversity Strategy for 2030</w:t>
            </w:r>
            <w:r>
              <w:fldChar w:fldCharType="end"/>
            </w:r>
            <w:r w:rsidRPr="002E0B33" w:rsidR="001A689C">
              <w:rPr>
                <w:rFonts w:asciiTheme="minorHAnsi" w:hAnsiTheme="minorHAnsi" w:cstheme="minorHAnsi"/>
                <w:sz w:val="22"/>
                <w:szCs w:val="22"/>
                <w:lang w:val="en-IE"/>
              </w:rPr>
              <w:t xml:space="preserve"> </w:t>
            </w:r>
            <w:r w:rsidRPr="002E0B33">
              <w:rPr>
                <w:rFonts w:asciiTheme="minorHAnsi" w:hAnsiTheme="minorHAnsi" w:cstheme="minorHAnsi"/>
                <w:sz w:val="22"/>
                <w:szCs w:val="22"/>
                <w:lang w:val="en-IE"/>
              </w:rPr>
              <w:t xml:space="preserve">and the </w:t>
            </w:r>
            <w:r>
              <w:fldChar w:fldCharType="begin"/>
            </w:r>
            <w:r>
              <w:instrText xml:space="preserve"> HYPERLINK "https://ec.europa.eu/environment/water/water-urbanwaste/pdf/UWWTD%20Evaluation%20SWD%20448-701%20web.pdf" </w:instrText>
            </w:r>
            <w:r>
              <w:fldChar w:fldCharType="separate"/>
            </w:r>
            <w:r w:rsidRPr="002E0B33" w:rsidR="001A689C">
              <w:rPr>
                <w:rStyle w:val="Hyperlink"/>
                <w:rFonts w:asciiTheme="minorHAnsi" w:hAnsiTheme="minorHAnsi" w:cstheme="minorHAnsi"/>
                <w:sz w:val="22"/>
                <w:szCs w:val="22"/>
                <w:lang w:val="en-IE"/>
              </w:rPr>
              <w:t>recently evaluated UWWTD</w:t>
            </w:r>
            <w:r>
              <w:fldChar w:fldCharType="end"/>
            </w:r>
            <w:r w:rsidRPr="002E0B33">
              <w:rPr>
                <w:rFonts w:asciiTheme="minorHAnsi" w:hAnsiTheme="minorHAnsi" w:cstheme="minorHAnsi"/>
                <w:sz w:val="22"/>
                <w:szCs w:val="22"/>
                <w:lang w:val="en-IE"/>
              </w:rPr>
              <w:t>. Therefore,</w:t>
            </w:r>
            <w:r w:rsidRPr="002E0B33" w:rsidR="00F07D32">
              <w:rPr>
                <w:rFonts w:asciiTheme="minorHAnsi" w:hAnsiTheme="minorHAnsi" w:cstheme="minorHAnsi"/>
                <w:sz w:val="22"/>
                <w:szCs w:val="22"/>
                <w:lang w:val="en-IE"/>
              </w:rPr>
              <w:t xml:space="preserve"> the </w:t>
            </w:r>
            <w:r w:rsidRPr="002E0B33" w:rsidR="00791E47">
              <w:rPr>
                <w:rFonts w:asciiTheme="minorHAnsi" w:hAnsiTheme="minorHAnsi" w:cstheme="minorHAnsi"/>
                <w:sz w:val="22"/>
                <w:szCs w:val="22"/>
                <w:lang w:val="en-IE"/>
              </w:rPr>
              <w:t xml:space="preserve">results of </w:t>
            </w:r>
            <w:r w:rsidRPr="002E0B33" w:rsidR="00F07D32">
              <w:rPr>
                <w:rFonts w:asciiTheme="minorHAnsi" w:hAnsiTheme="minorHAnsi" w:cstheme="minorHAnsi"/>
                <w:sz w:val="22"/>
                <w:szCs w:val="22"/>
                <w:lang w:val="en-IE"/>
              </w:rPr>
              <w:t xml:space="preserve">2014 evaluation </w:t>
            </w:r>
            <w:r w:rsidRPr="002E0B33" w:rsidR="00791E47">
              <w:rPr>
                <w:rFonts w:asciiTheme="minorHAnsi" w:hAnsiTheme="minorHAnsi" w:cstheme="minorHAnsi"/>
                <w:sz w:val="22"/>
                <w:szCs w:val="22"/>
                <w:lang w:val="en-IE"/>
              </w:rPr>
              <w:t>need to be validated</w:t>
            </w:r>
            <w:r w:rsidRPr="002E0B33" w:rsidR="00F07D32">
              <w:rPr>
                <w:rFonts w:asciiTheme="minorHAnsi" w:hAnsiTheme="minorHAnsi" w:cstheme="minorHAnsi"/>
                <w:sz w:val="22"/>
                <w:szCs w:val="22"/>
                <w:lang w:val="en-IE"/>
              </w:rPr>
              <w:t xml:space="preserve"> </w:t>
            </w:r>
            <w:r w:rsidRPr="002E0B33" w:rsidR="00791E47">
              <w:rPr>
                <w:rFonts w:asciiTheme="minorHAnsi" w:hAnsiTheme="minorHAnsi" w:cstheme="minorHAnsi"/>
                <w:sz w:val="22"/>
                <w:szCs w:val="22"/>
                <w:lang w:val="en-IE"/>
              </w:rPr>
              <w:t>and complemented</w:t>
            </w:r>
            <w:r w:rsidRPr="002E0B33" w:rsidR="006176E9">
              <w:rPr>
                <w:rFonts w:asciiTheme="minorHAnsi" w:hAnsiTheme="minorHAnsi" w:cstheme="minorHAnsi"/>
                <w:sz w:val="22"/>
                <w:szCs w:val="22"/>
                <w:lang w:val="en-IE"/>
              </w:rPr>
              <w:t xml:space="preserve">, </w:t>
            </w:r>
            <w:r w:rsidRPr="002E0B33" w:rsidR="006176E9">
              <w:rPr>
                <w:rFonts w:asciiTheme="minorHAnsi" w:hAnsiTheme="minorHAnsi" w:cstheme="minorHAnsi"/>
                <w:sz w:val="22"/>
                <w:szCs w:val="22"/>
                <w:lang w:val="en-IE"/>
              </w:rPr>
              <w:t>so as to</w:t>
            </w:r>
            <w:r w:rsidRPr="002E0B33" w:rsidR="006176E9">
              <w:rPr>
                <w:rFonts w:asciiTheme="minorHAnsi" w:hAnsiTheme="minorHAnsi" w:cstheme="minorHAnsi"/>
                <w:sz w:val="22"/>
                <w:szCs w:val="22"/>
                <w:lang w:val="en-IE"/>
              </w:rPr>
              <w:t xml:space="preserve"> inform the Commission’s decision on the need to revise the SSD, as outlined in the </w:t>
            </w:r>
            <w:r>
              <w:fldChar w:fldCharType="begin"/>
            </w:r>
            <w:r>
              <w:instrText xml:space="preserve"> HYPERLINK "https://ec.europa.eu/environment/circular-economy/" </w:instrText>
            </w:r>
            <w:r>
              <w:fldChar w:fldCharType="separate"/>
            </w:r>
            <w:r w:rsidRPr="002E0B33" w:rsidR="006176E9">
              <w:rPr>
                <w:rStyle w:val="Hyperlink"/>
                <w:rFonts w:asciiTheme="minorHAnsi" w:hAnsiTheme="minorHAnsi" w:cstheme="minorHAnsi"/>
                <w:sz w:val="22"/>
                <w:szCs w:val="22"/>
                <w:lang w:val="en-IE"/>
              </w:rPr>
              <w:t>New Circular Economy Action Plan</w:t>
            </w:r>
            <w:r>
              <w:fldChar w:fldCharType="end"/>
            </w:r>
            <w:r w:rsidRPr="00A043F8" w:rsidR="006176E9">
              <w:rPr>
                <w:rFonts w:asciiTheme="minorHAnsi" w:hAnsiTheme="minorHAnsi" w:cstheme="minorHAnsi"/>
                <w:sz w:val="22"/>
                <w:szCs w:val="22"/>
                <w:lang w:val="en-IE"/>
              </w:rPr>
              <w:t xml:space="preserve"> adopted on 11 March 2020.</w:t>
            </w:r>
            <w:r w:rsidRPr="00A043F8" w:rsidR="00D655A7">
              <w:rPr>
                <w:rFonts w:asciiTheme="minorHAnsi" w:hAnsiTheme="minorHAnsi" w:cstheme="minorHAnsi"/>
                <w:sz w:val="22"/>
                <w:szCs w:val="22"/>
                <w:lang w:val="en-IE"/>
              </w:rPr>
              <w:t xml:space="preserve"> An evaluation of the S</w:t>
            </w:r>
            <w:r w:rsidR="00E4780E">
              <w:rPr>
                <w:rFonts w:asciiTheme="minorHAnsi" w:hAnsiTheme="minorHAnsi" w:cstheme="minorHAnsi"/>
                <w:sz w:val="22"/>
                <w:szCs w:val="22"/>
                <w:lang w:val="en-IE"/>
              </w:rPr>
              <w:t>S</w:t>
            </w:r>
            <w:r w:rsidRPr="00A043F8" w:rsidR="00D655A7">
              <w:rPr>
                <w:rFonts w:asciiTheme="minorHAnsi" w:hAnsiTheme="minorHAnsi" w:cstheme="minorHAnsi"/>
                <w:sz w:val="22"/>
                <w:szCs w:val="22"/>
                <w:lang w:val="en-IE"/>
              </w:rPr>
              <w:t xml:space="preserve">D as a stand-alone instrument, not as a part of the </w:t>
            </w:r>
            <w:r w:rsidRPr="00A043F8" w:rsidR="00D655A7">
              <w:rPr>
                <w:rFonts w:asciiTheme="minorHAnsi" w:hAnsiTheme="minorHAnsi" w:cstheme="minorHAnsi"/>
                <w:sz w:val="22"/>
                <w:szCs w:val="22"/>
                <w:lang w:val="en-IE"/>
              </w:rPr>
              <w:t>whole</w:t>
            </w:r>
            <w:r w:rsidRPr="00A043F8" w:rsidR="00D655A7">
              <w:rPr>
                <w:rFonts w:asciiTheme="minorHAnsi" w:hAnsiTheme="minorHAnsi" w:cstheme="minorHAnsi"/>
                <w:sz w:val="22"/>
                <w:szCs w:val="22"/>
                <w:lang w:val="en-IE"/>
              </w:rPr>
              <w:t xml:space="preserve"> waste stream framework, will also allow for a deeper assessment of issues specific to the S</w:t>
            </w:r>
            <w:r w:rsidR="00C917DF">
              <w:rPr>
                <w:rFonts w:asciiTheme="minorHAnsi" w:hAnsiTheme="minorHAnsi" w:cstheme="minorHAnsi"/>
                <w:sz w:val="22"/>
                <w:szCs w:val="22"/>
                <w:lang w:val="en-IE"/>
              </w:rPr>
              <w:t>S</w:t>
            </w:r>
            <w:r w:rsidRPr="00A043F8" w:rsidR="00D655A7">
              <w:rPr>
                <w:rFonts w:asciiTheme="minorHAnsi" w:hAnsiTheme="minorHAnsi" w:cstheme="minorHAnsi"/>
                <w:sz w:val="22"/>
                <w:szCs w:val="22"/>
                <w:lang w:val="en-IE"/>
              </w:rPr>
              <w:t>D.</w:t>
            </w:r>
          </w:p>
        </w:tc>
      </w:tr>
      <w:tr w:rsidTr="001E2AAA">
        <w:tblPrEx>
          <w:tblW w:w="10283" w:type="dxa"/>
          <w:jc w:val="center"/>
          <w:tblLook w:val="01E0"/>
        </w:tblPrEx>
        <w:trPr>
          <w:jc w:val="center"/>
        </w:trPr>
        <w:tc>
          <w:tcPr>
            <w:tcW w:w="10283" w:type="dxa"/>
            <w:tcBorders>
              <w:bottom w:val="single" w:sz="4" w:space="0" w:color="auto"/>
            </w:tcBorders>
            <w:shd w:val="clear" w:color="auto" w:fill="E6E6E6"/>
          </w:tcPr>
          <w:p w:rsidR="001E0806" w:rsidRPr="00F9272E" w:rsidP="000E1534">
            <w:pPr>
              <w:spacing w:before="60" w:after="60"/>
              <w:rPr>
                <w:rFonts w:ascii="Arial" w:hAnsi="Arial" w:cs="Arial"/>
                <w:sz w:val="20"/>
                <w:lang w:eastAsia="en-GB"/>
              </w:rPr>
            </w:pPr>
            <w:r w:rsidRPr="00F9272E">
              <w:rPr>
                <w:rFonts w:ascii="Arial" w:hAnsi="Arial" w:cs="Arial"/>
                <w:b/>
                <w:sz w:val="20"/>
                <w:lang w:eastAsia="en-GB"/>
              </w:rPr>
              <w:t xml:space="preserve">Purpose and </w:t>
            </w:r>
            <w:r w:rsidR="001E2AAA">
              <w:rPr>
                <w:rFonts w:ascii="Arial" w:hAnsi="Arial" w:cs="Arial"/>
                <w:b/>
                <w:sz w:val="20"/>
                <w:lang w:eastAsia="en-GB"/>
              </w:rPr>
              <w:t>s</w:t>
            </w:r>
            <w:r w:rsidRPr="00F9272E">
              <w:rPr>
                <w:rFonts w:ascii="Arial" w:hAnsi="Arial" w:cs="Arial"/>
                <w:b/>
                <w:sz w:val="20"/>
                <w:lang w:eastAsia="en-GB"/>
              </w:rPr>
              <w:t xml:space="preserve">cope </w:t>
            </w:r>
          </w:p>
        </w:tc>
      </w:tr>
      <w:tr w:rsidTr="001E2AAA">
        <w:tblPrEx>
          <w:tblW w:w="10283" w:type="dxa"/>
          <w:jc w:val="center"/>
          <w:tblLook w:val="01E0"/>
        </w:tblPrEx>
        <w:trPr>
          <w:jc w:val="center"/>
        </w:trPr>
        <w:tc>
          <w:tcPr>
            <w:tcW w:w="10283" w:type="dxa"/>
            <w:tcBorders>
              <w:bottom w:val="single" w:sz="4" w:space="0" w:color="auto"/>
            </w:tcBorders>
            <w:shd w:val="clear" w:color="auto" w:fill="auto"/>
          </w:tcPr>
          <w:p w:rsidR="00756A94" w:rsidRPr="008F2654" w:rsidP="006B4A4D">
            <w:pPr>
              <w:spacing w:before="60" w:after="60"/>
              <w:rPr>
                <w:rFonts w:asciiTheme="minorHAnsi" w:hAnsiTheme="minorHAnsi" w:cstheme="minorHAnsi"/>
                <w:sz w:val="22"/>
                <w:szCs w:val="22"/>
                <w:lang w:val="en-IE"/>
              </w:rPr>
            </w:pPr>
            <w:r>
              <w:rPr>
                <w:rFonts w:asciiTheme="minorHAnsi" w:hAnsiTheme="minorHAnsi" w:cstheme="minorHAnsi"/>
                <w:sz w:val="22"/>
                <w:szCs w:val="22"/>
                <w:lang w:val="en-IE"/>
              </w:rPr>
              <w:t>T</w:t>
            </w:r>
            <w:r w:rsidRPr="000E1534" w:rsidR="000E1534">
              <w:rPr>
                <w:rFonts w:asciiTheme="minorHAnsi" w:hAnsiTheme="minorHAnsi" w:cstheme="minorHAnsi"/>
                <w:sz w:val="22"/>
                <w:szCs w:val="22"/>
                <w:lang w:val="en-IE"/>
              </w:rPr>
              <w:t>h</w:t>
            </w:r>
            <w:r>
              <w:rPr>
                <w:rFonts w:asciiTheme="minorHAnsi" w:hAnsiTheme="minorHAnsi" w:cstheme="minorHAnsi"/>
                <w:sz w:val="22"/>
                <w:szCs w:val="22"/>
                <w:lang w:val="en-IE"/>
              </w:rPr>
              <w:t>is</w:t>
            </w:r>
            <w:r w:rsidR="000E1534">
              <w:rPr>
                <w:rFonts w:asciiTheme="minorHAnsi" w:hAnsiTheme="minorHAnsi" w:cstheme="minorHAnsi"/>
                <w:sz w:val="22"/>
                <w:szCs w:val="22"/>
                <w:lang w:val="en-IE"/>
              </w:rPr>
              <w:t xml:space="preserve"> </w:t>
            </w:r>
            <w:r>
              <w:rPr>
                <w:rFonts w:asciiTheme="minorHAnsi" w:hAnsiTheme="minorHAnsi" w:cstheme="minorHAnsi"/>
                <w:sz w:val="22"/>
                <w:szCs w:val="22"/>
                <w:lang w:val="en-IE"/>
              </w:rPr>
              <w:t xml:space="preserve">evaluation </w:t>
            </w:r>
            <w:r w:rsidR="000E1534">
              <w:rPr>
                <w:rFonts w:asciiTheme="minorHAnsi" w:hAnsiTheme="minorHAnsi" w:cstheme="minorHAnsi"/>
                <w:sz w:val="22"/>
                <w:szCs w:val="22"/>
                <w:lang w:val="en-IE"/>
              </w:rPr>
              <w:t xml:space="preserve">will assess the </w:t>
            </w:r>
            <w:r w:rsidRPr="000E1534" w:rsidR="000E1534">
              <w:rPr>
                <w:rFonts w:asciiTheme="minorHAnsi" w:hAnsiTheme="minorHAnsi" w:cstheme="minorHAnsi"/>
                <w:sz w:val="22"/>
                <w:szCs w:val="22"/>
                <w:lang w:val="en-IE"/>
              </w:rPr>
              <w:t xml:space="preserve">evaluation </w:t>
            </w:r>
            <w:r w:rsidR="000E1534">
              <w:rPr>
                <w:rFonts w:asciiTheme="minorHAnsi" w:hAnsiTheme="minorHAnsi" w:cstheme="minorHAnsi"/>
                <w:sz w:val="22"/>
                <w:szCs w:val="22"/>
                <w:lang w:val="en-IE"/>
              </w:rPr>
              <w:t xml:space="preserve">criteria of the </w:t>
            </w:r>
            <w:r w:rsidRPr="000E1534" w:rsidR="000E1534">
              <w:rPr>
                <w:rFonts w:asciiTheme="minorHAnsi" w:hAnsiTheme="minorHAnsi" w:cstheme="minorHAnsi"/>
                <w:sz w:val="22"/>
                <w:szCs w:val="22"/>
                <w:lang w:val="en-IE"/>
              </w:rPr>
              <w:t xml:space="preserve">effectiveness, efficiency, relevance, </w:t>
            </w:r>
            <w:r w:rsidRPr="008F2654" w:rsidR="000E1534">
              <w:rPr>
                <w:rFonts w:asciiTheme="minorHAnsi" w:hAnsiTheme="minorHAnsi" w:cstheme="minorHAnsi"/>
                <w:sz w:val="22"/>
                <w:szCs w:val="22"/>
                <w:lang w:val="en-IE"/>
              </w:rPr>
              <w:t>coherence and EU added-value of the SSD in all Member States</w:t>
            </w:r>
            <w:r w:rsidR="00D53739">
              <w:rPr>
                <w:rFonts w:asciiTheme="minorHAnsi" w:hAnsiTheme="minorHAnsi" w:cstheme="minorHAnsi"/>
                <w:sz w:val="22"/>
                <w:szCs w:val="22"/>
                <w:lang w:val="en-IE"/>
              </w:rPr>
              <w:t xml:space="preserve"> since the adoption of the SSD</w:t>
            </w:r>
            <w:r w:rsidR="008F4E32">
              <w:rPr>
                <w:rFonts w:asciiTheme="minorHAnsi" w:hAnsiTheme="minorHAnsi" w:cstheme="minorHAnsi"/>
                <w:sz w:val="22"/>
                <w:szCs w:val="22"/>
                <w:lang w:val="en-IE"/>
              </w:rPr>
              <w:t>,</w:t>
            </w:r>
            <w:r w:rsidR="00791E47">
              <w:rPr>
                <w:rFonts w:asciiTheme="minorHAnsi" w:hAnsiTheme="minorHAnsi" w:cstheme="minorHAnsi"/>
                <w:sz w:val="22"/>
                <w:szCs w:val="22"/>
                <w:lang w:val="en-IE"/>
              </w:rPr>
              <w:t xml:space="preserve"> </w:t>
            </w:r>
            <w:r w:rsidRPr="008F2654">
              <w:rPr>
                <w:rFonts w:asciiTheme="minorHAnsi" w:hAnsiTheme="minorHAnsi" w:cstheme="minorHAnsi"/>
                <w:sz w:val="22"/>
                <w:szCs w:val="22"/>
                <w:lang w:val="en-IE"/>
              </w:rPr>
              <w:t>in a proportional way</w:t>
            </w:r>
            <w:r w:rsidR="00AF2CA9">
              <w:rPr>
                <w:rFonts w:asciiTheme="minorHAnsi" w:hAnsiTheme="minorHAnsi" w:cstheme="minorHAnsi"/>
                <w:sz w:val="22"/>
                <w:szCs w:val="22"/>
                <w:lang w:val="en-IE"/>
              </w:rPr>
              <w:t>,</w:t>
            </w:r>
            <w:r w:rsidRPr="008F2654">
              <w:rPr>
                <w:rFonts w:asciiTheme="minorHAnsi" w:hAnsiTheme="minorHAnsi" w:cstheme="minorHAnsi"/>
                <w:sz w:val="22"/>
                <w:szCs w:val="22"/>
                <w:lang w:val="en-IE"/>
              </w:rPr>
              <w:t xml:space="preserve"> </w:t>
            </w:r>
            <w:r w:rsidR="005F37DD">
              <w:rPr>
                <w:rFonts w:asciiTheme="minorHAnsi" w:hAnsiTheme="minorHAnsi" w:cstheme="minorHAnsi"/>
                <w:sz w:val="22"/>
                <w:szCs w:val="22"/>
                <w:lang w:val="en-IE"/>
              </w:rPr>
              <w:t>building on and complementing</w:t>
            </w:r>
            <w:r w:rsidRPr="008F2654" w:rsidR="005F37DD">
              <w:rPr>
                <w:rFonts w:asciiTheme="minorHAnsi" w:hAnsiTheme="minorHAnsi" w:cstheme="minorHAnsi"/>
                <w:sz w:val="22"/>
                <w:szCs w:val="22"/>
                <w:lang w:val="en-IE"/>
              </w:rPr>
              <w:t xml:space="preserve"> </w:t>
            </w:r>
            <w:r w:rsidRPr="008F2654">
              <w:rPr>
                <w:rFonts w:asciiTheme="minorHAnsi" w:hAnsiTheme="minorHAnsi" w:cstheme="minorHAnsi"/>
                <w:sz w:val="22"/>
                <w:szCs w:val="22"/>
                <w:lang w:val="en-IE"/>
              </w:rPr>
              <w:t>the previous evaluation results</w:t>
            </w:r>
            <w:r w:rsidR="00791E47">
              <w:rPr>
                <w:rFonts w:asciiTheme="minorHAnsi" w:hAnsiTheme="minorHAnsi" w:cstheme="minorHAnsi"/>
                <w:sz w:val="22"/>
                <w:szCs w:val="22"/>
                <w:lang w:val="en-IE"/>
              </w:rPr>
              <w:t>, through the following evaluation questions</w:t>
            </w:r>
            <w:r w:rsidRPr="008F2654">
              <w:rPr>
                <w:rFonts w:asciiTheme="minorHAnsi" w:hAnsiTheme="minorHAnsi" w:cstheme="minorHAnsi"/>
                <w:sz w:val="22"/>
                <w:szCs w:val="22"/>
                <w:lang w:val="en-IE"/>
              </w:rPr>
              <w:t>:</w:t>
            </w:r>
          </w:p>
          <w:p w:rsidR="003D7E05" w:rsidRPr="008F2654" w:rsidP="005E41BD">
            <w:pPr>
              <w:spacing w:after="0"/>
              <w:rPr>
                <w:rFonts w:asciiTheme="minorHAnsi" w:hAnsiTheme="minorHAnsi" w:cstheme="minorHAnsi"/>
                <w:sz w:val="22"/>
                <w:szCs w:val="22"/>
              </w:rPr>
            </w:pPr>
            <w:r w:rsidRPr="008F2654">
              <w:rPr>
                <w:rFonts w:asciiTheme="minorHAnsi" w:hAnsiTheme="minorHAnsi" w:cstheme="minorHAnsi"/>
                <w:sz w:val="22"/>
                <w:szCs w:val="22"/>
              </w:rPr>
              <w:t>Effectiveness</w:t>
            </w:r>
          </w:p>
          <w:p w:rsidR="003D7E05" w:rsidRPr="008F2654">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What progress </w:t>
            </w:r>
            <w:r w:rsidRPr="008F2654">
              <w:rPr>
                <w:rFonts w:asciiTheme="minorHAnsi" w:hAnsiTheme="minorHAnsi" w:cstheme="minorHAnsi"/>
                <w:sz w:val="22"/>
                <w:szCs w:val="22"/>
                <w:lang w:val="en-IE"/>
              </w:rPr>
              <w:t>has been made</w:t>
            </w:r>
            <w:r w:rsidRPr="008F2654">
              <w:rPr>
                <w:rFonts w:asciiTheme="minorHAnsi" w:hAnsiTheme="minorHAnsi" w:cstheme="minorHAnsi"/>
                <w:sz w:val="22"/>
                <w:szCs w:val="22"/>
                <w:lang w:val="en-IE"/>
              </w:rPr>
              <w:t xml:space="preserve"> over time towards achieving the objectives and targets set out in the SSD in the various M</w:t>
            </w:r>
            <w:r w:rsidR="00D379BB">
              <w:rPr>
                <w:rFonts w:asciiTheme="minorHAnsi" w:hAnsiTheme="minorHAnsi" w:cstheme="minorHAnsi"/>
                <w:sz w:val="22"/>
                <w:szCs w:val="22"/>
                <w:lang w:val="en-IE"/>
              </w:rPr>
              <w:t xml:space="preserve">ember </w:t>
            </w:r>
            <w:r w:rsidRPr="008F2654">
              <w:rPr>
                <w:rFonts w:asciiTheme="minorHAnsi" w:hAnsiTheme="minorHAnsi" w:cstheme="minorHAnsi"/>
                <w:sz w:val="22"/>
                <w:szCs w:val="22"/>
                <w:lang w:val="en-IE"/>
              </w:rPr>
              <w:t>S</w:t>
            </w:r>
            <w:r w:rsidR="00D379BB">
              <w:rPr>
                <w:rFonts w:asciiTheme="minorHAnsi" w:hAnsiTheme="minorHAnsi" w:cstheme="minorHAnsi"/>
                <w:sz w:val="22"/>
                <w:szCs w:val="22"/>
                <w:lang w:val="en-IE"/>
              </w:rPr>
              <w:t>tates</w:t>
            </w:r>
            <w:r w:rsidRPr="008F2654">
              <w:rPr>
                <w:rFonts w:asciiTheme="minorHAnsi" w:hAnsiTheme="minorHAnsi" w:cstheme="minorHAnsi"/>
                <w:sz w:val="22"/>
                <w:szCs w:val="22"/>
                <w:lang w:val="en-IE"/>
              </w:rPr>
              <w:t xml:space="preserve">?  To what extent </w:t>
            </w:r>
            <w:r w:rsidRPr="008F2654">
              <w:rPr>
                <w:rFonts w:asciiTheme="minorHAnsi" w:hAnsiTheme="minorHAnsi" w:cstheme="minorHAnsi"/>
                <w:sz w:val="22"/>
                <w:szCs w:val="22"/>
                <w:lang w:val="en-IE"/>
              </w:rPr>
              <w:t>have the objectives been met</w:t>
            </w:r>
            <w:r w:rsidRPr="008F2654">
              <w:rPr>
                <w:rFonts w:asciiTheme="minorHAnsi" w:hAnsiTheme="minorHAnsi" w:cstheme="minorHAnsi"/>
                <w:sz w:val="22"/>
                <w:szCs w:val="22"/>
                <w:lang w:val="en-IE"/>
              </w:rPr>
              <w:t xml:space="preserve">? </w:t>
            </w:r>
          </w:p>
          <w:p w:rsidR="009B75B8"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What factors have contributed to or hindered their achievement?</w:t>
            </w:r>
          </w:p>
          <w:p w:rsidR="009B75B8" w:rsidRPr="008F2654">
            <w:pPr>
              <w:pStyle w:val="ListParagraph"/>
              <w:numPr>
                <w:ilvl w:val="0"/>
                <w:numId w:val="41"/>
              </w:numPr>
              <w:rPr>
                <w:rFonts w:asciiTheme="minorHAnsi" w:hAnsiTheme="minorHAnsi" w:cstheme="minorHAnsi"/>
                <w:sz w:val="22"/>
                <w:szCs w:val="22"/>
                <w:lang w:val="en-IE"/>
              </w:rPr>
            </w:pPr>
            <w:r>
              <w:rPr>
                <w:rFonts w:asciiTheme="minorHAnsi" w:hAnsiTheme="minorHAnsi" w:cstheme="minorHAnsi"/>
                <w:sz w:val="22"/>
                <w:szCs w:val="22"/>
                <w:lang w:val="en-IE"/>
              </w:rPr>
              <w:t xml:space="preserve">How effective </w:t>
            </w:r>
            <w:r w:rsidR="00A043F8">
              <w:rPr>
                <w:rFonts w:asciiTheme="minorHAnsi" w:hAnsiTheme="minorHAnsi" w:cstheme="minorHAnsi"/>
                <w:sz w:val="22"/>
                <w:szCs w:val="22"/>
                <w:lang w:val="en-IE"/>
              </w:rPr>
              <w:t>has</w:t>
            </w:r>
            <w:r w:rsidR="00A043F8">
              <w:rPr>
                <w:rFonts w:asciiTheme="minorHAnsi" w:hAnsiTheme="minorHAnsi" w:cstheme="minorHAnsi"/>
                <w:sz w:val="22"/>
                <w:szCs w:val="22"/>
                <w:lang w:val="en-IE"/>
              </w:rPr>
              <w:t xml:space="preserve"> </w:t>
            </w:r>
            <w:r w:rsidRPr="008F2654" w:rsidR="00595648">
              <w:rPr>
                <w:rFonts w:asciiTheme="minorHAnsi" w:hAnsiTheme="minorHAnsi" w:cstheme="minorHAnsi"/>
                <w:sz w:val="22"/>
                <w:szCs w:val="22"/>
                <w:lang w:val="en-IE"/>
              </w:rPr>
              <w:t>the</w:t>
            </w:r>
            <w:r w:rsidRPr="008F2654">
              <w:rPr>
                <w:rFonts w:asciiTheme="minorHAnsi" w:hAnsiTheme="minorHAnsi" w:cstheme="minorHAnsi"/>
                <w:sz w:val="22"/>
                <w:szCs w:val="22"/>
                <w:lang w:val="en-IE"/>
              </w:rPr>
              <w:t xml:space="preserve"> </w:t>
            </w:r>
            <w:r w:rsidRPr="008F2654" w:rsidR="00595648">
              <w:rPr>
                <w:rFonts w:asciiTheme="minorHAnsi" w:hAnsiTheme="minorHAnsi" w:cstheme="minorHAnsi"/>
                <w:sz w:val="22"/>
                <w:szCs w:val="22"/>
                <w:lang w:val="en-IE"/>
              </w:rPr>
              <w:t xml:space="preserve">implementation and </w:t>
            </w:r>
            <w:r w:rsidRPr="008F2654">
              <w:rPr>
                <w:rFonts w:asciiTheme="minorHAnsi" w:hAnsiTheme="minorHAnsi" w:cstheme="minorHAnsi"/>
                <w:sz w:val="22"/>
                <w:szCs w:val="22"/>
                <w:lang w:val="en-IE"/>
              </w:rPr>
              <w:t>enforcement of the SSD</w:t>
            </w:r>
            <w:r>
              <w:rPr>
                <w:rFonts w:asciiTheme="minorHAnsi" w:hAnsiTheme="minorHAnsi" w:cstheme="minorHAnsi"/>
                <w:sz w:val="22"/>
                <w:szCs w:val="22"/>
                <w:lang w:val="en-IE"/>
              </w:rPr>
              <w:t xml:space="preserve"> been in </w:t>
            </w:r>
            <w:r w:rsidRPr="008F2654">
              <w:rPr>
                <w:rFonts w:asciiTheme="minorHAnsi" w:hAnsiTheme="minorHAnsi" w:cstheme="minorHAnsi"/>
                <w:sz w:val="22"/>
                <w:szCs w:val="22"/>
                <w:lang w:val="en-IE"/>
              </w:rPr>
              <w:t xml:space="preserve">the </w:t>
            </w:r>
            <w:r w:rsidRPr="008F2654" w:rsidR="00595648">
              <w:rPr>
                <w:rFonts w:asciiTheme="minorHAnsi" w:hAnsiTheme="minorHAnsi" w:cstheme="minorHAnsi"/>
                <w:sz w:val="22"/>
                <w:szCs w:val="22"/>
                <w:lang w:val="en-IE"/>
              </w:rPr>
              <w:t xml:space="preserve">27 </w:t>
            </w:r>
            <w:r w:rsidRPr="008F2654">
              <w:rPr>
                <w:rFonts w:asciiTheme="minorHAnsi" w:hAnsiTheme="minorHAnsi" w:cstheme="minorHAnsi"/>
                <w:sz w:val="22"/>
                <w:szCs w:val="22"/>
                <w:lang w:val="en-IE"/>
              </w:rPr>
              <w:t>Member States and to what extent has this safeguarded agricultural soils from pollution</w:t>
            </w:r>
            <w:r w:rsidR="00A043F8">
              <w:rPr>
                <w:rFonts w:asciiTheme="minorHAnsi" w:hAnsiTheme="minorHAnsi" w:cstheme="minorHAnsi"/>
                <w:sz w:val="22"/>
                <w:szCs w:val="22"/>
                <w:lang w:val="en-IE"/>
              </w:rPr>
              <w:t>?</w:t>
            </w:r>
          </w:p>
          <w:p w:rsidR="003D7E05"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What have been the (quantitative and qualitative) effects of the </w:t>
            </w:r>
            <w:r w:rsidR="00D379BB">
              <w:rPr>
                <w:rFonts w:asciiTheme="minorHAnsi" w:hAnsiTheme="minorHAnsi" w:cstheme="minorHAnsi"/>
                <w:sz w:val="22"/>
                <w:szCs w:val="22"/>
                <w:lang w:val="en-IE"/>
              </w:rPr>
              <w:t>SSD</w:t>
            </w:r>
            <w:r w:rsidRPr="008F2654">
              <w:rPr>
                <w:rFonts w:asciiTheme="minorHAnsi" w:hAnsiTheme="minorHAnsi" w:cstheme="minorHAnsi"/>
                <w:sz w:val="22"/>
                <w:szCs w:val="22"/>
                <w:lang w:val="en-IE"/>
              </w:rPr>
              <w:t>?</w:t>
            </w:r>
          </w:p>
          <w:p w:rsidR="003D7E05"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What have been the unintended/unexpected effects of the </w:t>
            </w:r>
            <w:r w:rsidR="009C29D0">
              <w:rPr>
                <w:rFonts w:asciiTheme="minorHAnsi" w:hAnsiTheme="minorHAnsi" w:cstheme="minorHAnsi"/>
                <w:sz w:val="22"/>
                <w:szCs w:val="22"/>
                <w:lang w:val="en-IE"/>
              </w:rPr>
              <w:t>SSD</w:t>
            </w:r>
            <w:r w:rsidRPr="008F2654">
              <w:rPr>
                <w:rFonts w:asciiTheme="minorHAnsi" w:hAnsiTheme="minorHAnsi" w:cstheme="minorHAnsi"/>
                <w:sz w:val="22"/>
                <w:szCs w:val="22"/>
                <w:lang w:val="en-IE"/>
              </w:rPr>
              <w:t>?</w:t>
            </w:r>
          </w:p>
          <w:p w:rsidR="003D7E05" w:rsidRPr="008F2654" w:rsidP="003D7E05">
            <w:pPr>
              <w:pStyle w:val="ListParagraph"/>
              <w:ind w:left="360"/>
              <w:rPr>
                <w:rFonts w:asciiTheme="minorHAnsi" w:hAnsiTheme="minorHAnsi" w:cstheme="minorHAnsi"/>
                <w:sz w:val="22"/>
                <w:szCs w:val="22"/>
                <w:lang w:val="en-IE"/>
              </w:rPr>
            </w:pPr>
          </w:p>
          <w:p w:rsidR="003D7E05" w:rsidRPr="008F2654" w:rsidP="003D7E05">
            <w:pPr>
              <w:pStyle w:val="ListParagraph"/>
              <w:ind w:left="0"/>
              <w:rPr>
                <w:rFonts w:asciiTheme="minorHAnsi" w:hAnsiTheme="minorHAnsi" w:cstheme="minorHAnsi"/>
                <w:sz w:val="22"/>
                <w:szCs w:val="22"/>
              </w:rPr>
            </w:pPr>
            <w:r w:rsidRPr="008F2654">
              <w:rPr>
                <w:rFonts w:asciiTheme="minorHAnsi" w:hAnsiTheme="minorHAnsi" w:cstheme="minorHAnsi"/>
                <w:sz w:val="22"/>
                <w:szCs w:val="22"/>
              </w:rPr>
              <w:t>Efficiency</w:t>
            </w:r>
          </w:p>
          <w:p w:rsidR="000D5A04" w:rsidRPr="008F2654" w:rsidP="000D5A04">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To what extent has </w:t>
            </w:r>
            <w:r w:rsidR="00D379BB">
              <w:rPr>
                <w:rFonts w:asciiTheme="minorHAnsi" w:hAnsiTheme="minorHAnsi" w:cstheme="minorHAnsi"/>
                <w:sz w:val="22"/>
                <w:szCs w:val="22"/>
                <w:lang w:val="en-IE"/>
              </w:rPr>
              <w:t>the SSD</w:t>
            </w:r>
            <w:r w:rsidRPr="008F2654">
              <w:rPr>
                <w:rFonts w:asciiTheme="minorHAnsi" w:hAnsiTheme="minorHAnsi" w:cstheme="minorHAnsi"/>
                <w:sz w:val="22"/>
                <w:szCs w:val="22"/>
                <w:lang w:val="en-IE"/>
              </w:rPr>
              <w:t xml:space="preserve"> been cost-effective? </w:t>
            </w:r>
            <w:r w:rsidRPr="008F2654" w:rsidR="00312E72">
              <w:rPr>
                <w:rFonts w:asciiTheme="minorHAnsi" w:hAnsiTheme="minorHAnsi" w:cstheme="minorHAnsi"/>
                <w:sz w:val="22"/>
                <w:szCs w:val="22"/>
                <w:lang w:val="en-IE"/>
              </w:rPr>
              <w:t>Are the costs related</w:t>
            </w:r>
            <w:r w:rsidRPr="008F2654" w:rsidR="00312E72">
              <w:rPr>
                <w:rFonts w:asciiTheme="minorHAnsi" w:hAnsiTheme="minorHAnsi" w:cstheme="minorHAnsi"/>
                <w:sz w:val="22"/>
                <w:szCs w:val="22"/>
                <w:lang w:val="en-IE"/>
              </w:rPr>
              <w:t xml:space="preserve"> to the Directive proportionate to the benefits? </w:t>
            </w:r>
          </w:p>
          <w:p w:rsidR="003D7E05" w:rsidRPr="008F2654">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To what extent do </w:t>
            </w:r>
            <w:r w:rsidR="009C29D0">
              <w:rPr>
                <w:rFonts w:asciiTheme="minorHAnsi" w:hAnsiTheme="minorHAnsi" w:cstheme="minorHAnsi"/>
                <w:sz w:val="22"/>
                <w:szCs w:val="22"/>
                <w:lang w:val="en-IE"/>
              </w:rPr>
              <w:t>the requirements of the SSD</w:t>
            </w:r>
            <w:r w:rsidRPr="008F2654">
              <w:rPr>
                <w:rFonts w:asciiTheme="minorHAnsi" w:hAnsiTheme="minorHAnsi" w:cstheme="minorHAnsi"/>
                <w:sz w:val="22"/>
                <w:szCs w:val="22"/>
                <w:lang w:val="en-IE"/>
              </w:rPr>
              <w:t xml:space="preserve"> influence the efficiency with which the observed achievements </w:t>
            </w:r>
            <w:r w:rsidR="009C29D0">
              <w:rPr>
                <w:rFonts w:asciiTheme="minorHAnsi" w:hAnsiTheme="minorHAnsi" w:cstheme="minorHAnsi"/>
                <w:sz w:val="22"/>
                <w:szCs w:val="22"/>
                <w:lang w:val="en-IE"/>
              </w:rPr>
              <w:t>have been</w:t>
            </w:r>
            <w:r w:rsidRPr="008F2654" w:rsidR="009C29D0">
              <w:rPr>
                <w:rFonts w:asciiTheme="minorHAnsi" w:hAnsiTheme="minorHAnsi" w:cstheme="minorHAnsi"/>
                <w:sz w:val="22"/>
                <w:szCs w:val="22"/>
                <w:lang w:val="en-IE"/>
              </w:rPr>
              <w:t xml:space="preserve"> </w:t>
            </w:r>
            <w:r w:rsidRPr="008F2654">
              <w:rPr>
                <w:rFonts w:asciiTheme="minorHAnsi" w:hAnsiTheme="minorHAnsi" w:cstheme="minorHAnsi"/>
                <w:sz w:val="22"/>
                <w:szCs w:val="22"/>
                <w:lang w:val="en-IE"/>
              </w:rPr>
              <w:t xml:space="preserve">attained? What other factors influence the costs and benefits? </w:t>
            </w:r>
          </w:p>
          <w:p w:rsidR="003D7E05"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Are there opportunities to simplify the legislation or reduce unnecessary regulatory costs without undermining the intended objectives of the intervention?</w:t>
            </w:r>
          </w:p>
          <w:p w:rsidR="003D7E05" w:rsidRPr="008F2654" w:rsidP="003D7E05">
            <w:pPr>
              <w:pStyle w:val="ListParagraph"/>
              <w:numPr>
                <w:ilvl w:val="0"/>
                <w:numId w:val="41"/>
              </w:numPr>
              <w:rPr>
                <w:rFonts w:asciiTheme="minorHAnsi" w:hAnsiTheme="minorHAnsi" w:cstheme="minorHAnsi"/>
                <w:sz w:val="22"/>
                <w:szCs w:val="22"/>
                <w:lang w:val="en-IE"/>
              </w:rPr>
            </w:pPr>
            <w:r>
              <w:rPr>
                <w:rFonts w:asciiTheme="minorHAnsi" w:hAnsiTheme="minorHAnsi" w:cstheme="minorHAnsi"/>
                <w:sz w:val="22"/>
                <w:szCs w:val="22"/>
                <w:lang w:val="en-IE"/>
              </w:rPr>
              <w:t xml:space="preserve">Are </w:t>
            </w:r>
            <w:r w:rsidRPr="008F2654">
              <w:rPr>
                <w:rFonts w:asciiTheme="minorHAnsi" w:hAnsiTheme="minorHAnsi" w:cstheme="minorHAnsi"/>
                <w:sz w:val="22"/>
                <w:szCs w:val="22"/>
                <w:lang w:val="en-IE"/>
              </w:rPr>
              <w:t xml:space="preserve">there significant differences in costs (or benefits) between Member States, </w:t>
            </w:r>
            <w:r>
              <w:rPr>
                <w:rFonts w:asciiTheme="minorHAnsi" w:hAnsiTheme="minorHAnsi" w:cstheme="minorHAnsi"/>
                <w:sz w:val="22"/>
                <w:szCs w:val="22"/>
                <w:lang w:val="en-IE"/>
              </w:rPr>
              <w:t xml:space="preserve">and if so, </w:t>
            </w:r>
            <w:r w:rsidRPr="008F2654">
              <w:rPr>
                <w:rFonts w:asciiTheme="minorHAnsi" w:hAnsiTheme="minorHAnsi" w:cstheme="minorHAnsi"/>
                <w:sz w:val="22"/>
                <w:szCs w:val="22"/>
                <w:lang w:val="en-IE"/>
              </w:rPr>
              <w:t xml:space="preserve">what </w:t>
            </w:r>
            <w:r>
              <w:rPr>
                <w:rFonts w:asciiTheme="minorHAnsi" w:hAnsiTheme="minorHAnsi" w:cstheme="minorHAnsi"/>
                <w:sz w:val="22"/>
                <w:szCs w:val="22"/>
                <w:lang w:val="en-IE"/>
              </w:rPr>
              <w:t>are the underlying</w:t>
            </w:r>
            <w:r w:rsidRPr="008F2654">
              <w:rPr>
                <w:rFonts w:asciiTheme="minorHAnsi" w:hAnsiTheme="minorHAnsi" w:cstheme="minorHAnsi"/>
                <w:sz w:val="22"/>
                <w:szCs w:val="22"/>
                <w:lang w:val="en-IE"/>
              </w:rPr>
              <w:t xml:space="preserve"> caus</w:t>
            </w:r>
            <w:r>
              <w:rPr>
                <w:rFonts w:asciiTheme="minorHAnsi" w:hAnsiTheme="minorHAnsi" w:cstheme="minorHAnsi"/>
                <w:sz w:val="22"/>
                <w:szCs w:val="22"/>
                <w:lang w:val="en-IE"/>
              </w:rPr>
              <w:t>es</w:t>
            </w:r>
            <w:r w:rsidRPr="008F2654">
              <w:rPr>
                <w:rFonts w:asciiTheme="minorHAnsi" w:hAnsiTheme="minorHAnsi" w:cstheme="minorHAnsi"/>
                <w:sz w:val="22"/>
                <w:szCs w:val="22"/>
                <w:lang w:val="en-IE"/>
              </w:rPr>
              <w:t xml:space="preserve">? How do these differences link to the </w:t>
            </w:r>
            <w:r w:rsidR="00D379BB">
              <w:rPr>
                <w:rFonts w:asciiTheme="minorHAnsi" w:hAnsiTheme="minorHAnsi" w:cstheme="minorHAnsi"/>
                <w:sz w:val="22"/>
                <w:szCs w:val="22"/>
                <w:lang w:val="en-IE"/>
              </w:rPr>
              <w:t>SSD</w:t>
            </w:r>
            <w:r w:rsidRPr="008F2654">
              <w:rPr>
                <w:rFonts w:asciiTheme="minorHAnsi" w:hAnsiTheme="minorHAnsi" w:cstheme="minorHAnsi"/>
                <w:sz w:val="22"/>
                <w:szCs w:val="22"/>
                <w:lang w:val="en-IE"/>
              </w:rPr>
              <w:t xml:space="preserve">? </w:t>
            </w:r>
          </w:p>
          <w:p w:rsidR="003D7E05"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How timely and efficient is the process for reporting and monitoring?</w:t>
            </w:r>
          </w:p>
          <w:p w:rsidR="001655EF" w:rsidRPr="008F2654" w:rsidP="005E41BD">
            <w:pPr>
              <w:spacing w:after="0"/>
              <w:rPr>
                <w:rFonts w:asciiTheme="minorHAnsi" w:hAnsiTheme="minorHAnsi" w:cstheme="minorHAnsi"/>
                <w:sz w:val="22"/>
                <w:szCs w:val="22"/>
              </w:rPr>
            </w:pPr>
          </w:p>
          <w:p w:rsidR="003D7E05" w:rsidRPr="008F2654" w:rsidP="005E41BD">
            <w:pPr>
              <w:spacing w:after="0"/>
              <w:rPr>
                <w:rFonts w:asciiTheme="minorHAnsi" w:hAnsiTheme="minorHAnsi" w:cstheme="minorHAnsi"/>
                <w:sz w:val="22"/>
                <w:szCs w:val="22"/>
              </w:rPr>
            </w:pPr>
            <w:r w:rsidRPr="008F2654">
              <w:rPr>
                <w:rFonts w:asciiTheme="minorHAnsi" w:hAnsiTheme="minorHAnsi" w:cstheme="minorHAnsi"/>
                <w:sz w:val="22"/>
                <w:szCs w:val="22"/>
              </w:rPr>
              <w:t>Coherence</w:t>
            </w:r>
          </w:p>
          <w:p w:rsidR="003D7E05" w:rsidRPr="008F2654">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To what extent is the </w:t>
            </w:r>
            <w:r w:rsidR="00D379BB">
              <w:rPr>
                <w:rFonts w:asciiTheme="minorHAnsi" w:hAnsiTheme="minorHAnsi" w:cstheme="minorHAnsi"/>
                <w:sz w:val="22"/>
                <w:szCs w:val="22"/>
                <w:lang w:val="en-IE"/>
              </w:rPr>
              <w:t>SSD</w:t>
            </w:r>
            <w:r w:rsidRPr="008F2654">
              <w:rPr>
                <w:rFonts w:asciiTheme="minorHAnsi" w:hAnsiTheme="minorHAnsi" w:cstheme="minorHAnsi"/>
                <w:sz w:val="22"/>
                <w:szCs w:val="22"/>
                <w:lang w:val="en-IE"/>
              </w:rPr>
              <w:t xml:space="preserve"> internally consistent and coherent?</w:t>
            </w:r>
          </w:p>
          <w:p w:rsidR="00AA4BBD" w:rsidRPr="00D53739" w:rsidP="00CF25D4">
            <w:pPr>
              <w:pStyle w:val="ListParagraph"/>
              <w:numPr>
                <w:ilvl w:val="0"/>
                <w:numId w:val="41"/>
              </w:numPr>
              <w:rPr>
                <w:rFonts w:asciiTheme="minorHAnsi" w:hAnsiTheme="minorHAnsi" w:cstheme="minorHAnsi"/>
                <w:sz w:val="22"/>
                <w:szCs w:val="22"/>
                <w:lang w:val="en-IE"/>
              </w:rPr>
            </w:pPr>
            <w:r w:rsidRPr="00D53739">
              <w:rPr>
                <w:rFonts w:asciiTheme="minorHAnsi" w:hAnsiTheme="minorHAnsi" w:cstheme="minorHAnsi"/>
                <w:sz w:val="22"/>
                <w:szCs w:val="22"/>
                <w:lang w:val="en-IE"/>
              </w:rPr>
              <w:t xml:space="preserve">To what extent is the </w:t>
            </w:r>
            <w:r w:rsidR="00D379BB">
              <w:rPr>
                <w:rFonts w:asciiTheme="minorHAnsi" w:hAnsiTheme="minorHAnsi" w:cstheme="minorHAnsi"/>
                <w:sz w:val="22"/>
                <w:szCs w:val="22"/>
                <w:lang w:val="en-IE"/>
              </w:rPr>
              <w:t>SSD</w:t>
            </w:r>
            <w:r w:rsidRPr="00D53739">
              <w:rPr>
                <w:rFonts w:asciiTheme="minorHAnsi" w:hAnsiTheme="minorHAnsi" w:cstheme="minorHAnsi"/>
                <w:sz w:val="22"/>
                <w:szCs w:val="22"/>
                <w:lang w:val="en-IE"/>
              </w:rPr>
              <w:t xml:space="preserve"> coherent with other EU legislation such as the Urban Waste Water Treatment Directive, the Fertilising Products Regulation, Waste Framework Directive</w:t>
            </w:r>
            <w:r w:rsidRPr="00D53739" w:rsidR="00D53739">
              <w:rPr>
                <w:rFonts w:asciiTheme="minorHAnsi" w:hAnsiTheme="minorHAnsi" w:cstheme="minorHAnsi"/>
                <w:sz w:val="22"/>
                <w:szCs w:val="22"/>
                <w:lang w:val="en-IE"/>
              </w:rPr>
              <w:t xml:space="preserve">, </w:t>
            </w:r>
            <w:r w:rsidR="00D53739">
              <w:rPr>
                <w:rFonts w:asciiTheme="minorHAnsi" w:hAnsiTheme="minorHAnsi" w:cstheme="minorHAnsi"/>
                <w:sz w:val="22"/>
                <w:szCs w:val="22"/>
                <w:lang w:val="en-IE"/>
              </w:rPr>
              <w:t>t</w:t>
            </w:r>
            <w:r w:rsidRPr="00D53739" w:rsidR="001655EF">
              <w:rPr>
                <w:rFonts w:asciiTheme="minorHAnsi" w:hAnsiTheme="minorHAnsi" w:cstheme="minorHAnsi"/>
                <w:sz w:val="22"/>
                <w:szCs w:val="22"/>
                <w:lang w:val="en-IE"/>
              </w:rPr>
              <w:t xml:space="preserve">he </w:t>
            </w:r>
            <w:r w:rsidRPr="00D53739">
              <w:rPr>
                <w:rFonts w:asciiTheme="minorHAnsi" w:hAnsiTheme="minorHAnsi" w:cstheme="minorHAnsi"/>
                <w:sz w:val="22"/>
                <w:szCs w:val="22"/>
                <w:lang w:val="en-IE"/>
              </w:rPr>
              <w:t>Water Framework Directive</w:t>
            </w:r>
            <w:r w:rsidRPr="00D53739" w:rsidR="001655EF">
              <w:rPr>
                <w:rFonts w:asciiTheme="minorHAnsi" w:hAnsiTheme="minorHAnsi" w:cstheme="minorHAnsi"/>
                <w:sz w:val="22"/>
                <w:szCs w:val="22"/>
                <w:lang w:val="en-IE"/>
              </w:rPr>
              <w:t xml:space="preserve"> (and its daughter directives)</w:t>
            </w:r>
            <w:r w:rsidRPr="00D53739">
              <w:rPr>
                <w:rFonts w:asciiTheme="minorHAnsi" w:hAnsiTheme="minorHAnsi" w:cstheme="minorHAnsi"/>
                <w:sz w:val="22"/>
                <w:szCs w:val="22"/>
                <w:lang w:val="en-IE"/>
              </w:rPr>
              <w:t xml:space="preserve">, </w:t>
            </w:r>
            <w:r w:rsidRPr="009C29D0" w:rsidR="009C29D0">
              <w:rPr>
                <w:rFonts w:asciiTheme="minorHAnsi" w:hAnsiTheme="minorHAnsi" w:cstheme="minorHAnsi"/>
                <w:sz w:val="22"/>
                <w:szCs w:val="22"/>
                <w:lang w:val="en-IE"/>
              </w:rPr>
              <w:t>Marine Strategy Framework Directive</w:t>
            </w:r>
            <w:r w:rsidR="009C29D0">
              <w:rPr>
                <w:rFonts w:asciiTheme="minorHAnsi" w:hAnsiTheme="minorHAnsi" w:cstheme="minorHAnsi"/>
                <w:sz w:val="22"/>
                <w:szCs w:val="22"/>
                <w:lang w:val="en-IE"/>
              </w:rPr>
              <w:t>,</w:t>
            </w:r>
            <w:r w:rsidRPr="00D53739" w:rsidR="009C29D0">
              <w:rPr>
                <w:rFonts w:asciiTheme="minorHAnsi" w:hAnsiTheme="minorHAnsi" w:cstheme="minorHAnsi"/>
                <w:sz w:val="22"/>
                <w:szCs w:val="22"/>
                <w:lang w:val="en-IE"/>
              </w:rPr>
              <w:t xml:space="preserve"> </w:t>
            </w:r>
            <w:r w:rsidRPr="00D53739">
              <w:rPr>
                <w:rFonts w:asciiTheme="minorHAnsi" w:hAnsiTheme="minorHAnsi" w:cstheme="minorHAnsi"/>
                <w:sz w:val="22"/>
                <w:szCs w:val="22"/>
                <w:lang w:val="en-IE"/>
              </w:rPr>
              <w:t xml:space="preserve">the Landfill Directive, the Nitrates Directive, Renewable Energy Directive, </w:t>
            </w:r>
            <w:r w:rsidRPr="009C29D0" w:rsidR="009C29D0">
              <w:rPr>
                <w:rFonts w:asciiTheme="minorHAnsi" w:hAnsiTheme="minorHAnsi" w:cstheme="minorHAnsi"/>
                <w:sz w:val="22"/>
                <w:szCs w:val="22"/>
                <w:lang w:val="en-IE"/>
              </w:rPr>
              <w:t>the Energy Efficiency Directive</w:t>
            </w:r>
            <w:r w:rsidR="009C29D0">
              <w:rPr>
                <w:rFonts w:asciiTheme="minorHAnsi" w:hAnsiTheme="minorHAnsi" w:cstheme="minorHAnsi"/>
                <w:sz w:val="22"/>
                <w:szCs w:val="22"/>
                <w:lang w:val="en-IE"/>
              </w:rPr>
              <w:t xml:space="preserve">, </w:t>
            </w:r>
            <w:r w:rsidRPr="00D53739">
              <w:rPr>
                <w:rFonts w:asciiTheme="minorHAnsi" w:hAnsiTheme="minorHAnsi" w:cstheme="minorHAnsi"/>
                <w:sz w:val="22"/>
                <w:szCs w:val="22"/>
                <w:lang w:val="en-IE"/>
              </w:rPr>
              <w:t>Air Quality</w:t>
            </w:r>
            <w:r w:rsidRPr="00D53739" w:rsidR="000518A8">
              <w:rPr>
                <w:rFonts w:asciiTheme="minorHAnsi" w:hAnsiTheme="minorHAnsi" w:cstheme="minorHAnsi"/>
                <w:sz w:val="22"/>
                <w:szCs w:val="22"/>
                <w:lang w:val="en-IE"/>
              </w:rPr>
              <w:t xml:space="preserve"> Directive</w:t>
            </w:r>
            <w:r w:rsidRPr="00D53739">
              <w:rPr>
                <w:rFonts w:asciiTheme="minorHAnsi" w:hAnsiTheme="minorHAnsi" w:cstheme="minorHAnsi"/>
                <w:sz w:val="22"/>
                <w:szCs w:val="22"/>
                <w:lang w:val="en-IE"/>
              </w:rPr>
              <w:t>, National Emissions Ceiling Directive, Industrial Emissions</w:t>
            </w:r>
            <w:r w:rsidRPr="00D53739" w:rsidR="00312E72">
              <w:rPr>
                <w:rFonts w:asciiTheme="minorHAnsi" w:hAnsiTheme="minorHAnsi" w:cstheme="minorHAnsi"/>
                <w:sz w:val="22"/>
                <w:szCs w:val="22"/>
                <w:lang w:val="en-IE"/>
              </w:rPr>
              <w:t xml:space="preserve"> Directive</w:t>
            </w:r>
            <w:r w:rsidRPr="00D53739">
              <w:rPr>
                <w:rFonts w:asciiTheme="minorHAnsi" w:hAnsiTheme="minorHAnsi" w:cstheme="minorHAnsi"/>
                <w:sz w:val="22"/>
                <w:szCs w:val="22"/>
                <w:lang w:val="en-IE"/>
              </w:rPr>
              <w:t xml:space="preserve">, the REACH Regulation, </w:t>
            </w:r>
            <w:r w:rsidRPr="00D53739" w:rsidR="004B2B00">
              <w:rPr>
                <w:rFonts w:asciiTheme="minorHAnsi" w:hAnsiTheme="minorHAnsi" w:cstheme="minorHAnsi"/>
                <w:sz w:val="22"/>
                <w:szCs w:val="22"/>
                <w:lang w:val="en-IE"/>
              </w:rPr>
              <w:t>General Pr</w:t>
            </w:r>
            <w:r w:rsidR="00A043F8">
              <w:rPr>
                <w:rFonts w:asciiTheme="minorHAnsi" w:hAnsiTheme="minorHAnsi" w:cstheme="minorHAnsi"/>
                <w:sz w:val="22"/>
                <w:szCs w:val="22"/>
                <w:lang w:val="en-IE"/>
              </w:rPr>
              <w:t>inciples of Food Law Regulation</w:t>
            </w:r>
            <w:r w:rsidR="009C29D0">
              <w:rPr>
                <w:rFonts w:asciiTheme="minorHAnsi" w:eastAsiaTheme="minorHAnsi" w:hAnsiTheme="minorHAnsi" w:cstheme="minorHAnsi"/>
                <w:sz w:val="22"/>
                <w:szCs w:val="22"/>
                <w:lang w:val="en-IE" w:eastAsia="fr-BE"/>
              </w:rPr>
              <w:t>?</w:t>
            </w:r>
          </w:p>
          <w:p w:rsidR="003D7E05" w:rsidRPr="008F2654" w:rsidP="003D7E05">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To what extent is the </w:t>
            </w:r>
            <w:r w:rsidR="00D379BB">
              <w:rPr>
                <w:rFonts w:asciiTheme="minorHAnsi" w:hAnsiTheme="minorHAnsi" w:cstheme="minorHAnsi"/>
                <w:sz w:val="22"/>
                <w:szCs w:val="22"/>
                <w:lang w:val="en-IE"/>
              </w:rPr>
              <w:t>SSD</w:t>
            </w:r>
            <w:r w:rsidRPr="008F2654">
              <w:rPr>
                <w:rFonts w:asciiTheme="minorHAnsi" w:hAnsiTheme="minorHAnsi" w:cstheme="minorHAnsi"/>
                <w:sz w:val="22"/>
                <w:szCs w:val="22"/>
                <w:lang w:val="en-IE"/>
              </w:rPr>
              <w:t xml:space="preserve"> coherent with wider EU policy? </w:t>
            </w:r>
          </w:p>
          <w:p w:rsidR="003D7E05" w:rsidRPr="008F2654" w:rsidP="003D7E05">
            <w:pPr>
              <w:spacing w:after="0"/>
              <w:contextualSpacing/>
              <w:jc w:val="left"/>
              <w:rPr>
                <w:rFonts w:asciiTheme="minorHAnsi" w:hAnsiTheme="minorHAnsi" w:cstheme="minorHAnsi"/>
                <w:sz w:val="22"/>
                <w:szCs w:val="22"/>
              </w:rPr>
            </w:pPr>
          </w:p>
          <w:p w:rsidR="003D7E05" w:rsidRPr="009C29D0" w:rsidP="003D7E05">
            <w:pPr>
              <w:pStyle w:val="ListParagraph"/>
              <w:ind w:left="0"/>
              <w:rPr>
                <w:rFonts w:asciiTheme="minorHAnsi" w:hAnsiTheme="minorHAnsi" w:cstheme="minorHAnsi"/>
                <w:sz w:val="22"/>
                <w:szCs w:val="22"/>
                <w:lang w:val="en-IE"/>
              </w:rPr>
            </w:pPr>
            <w:r w:rsidRPr="009C29D0">
              <w:rPr>
                <w:rFonts w:asciiTheme="minorHAnsi" w:hAnsiTheme="minorHAnsi" w:cstheme="minorHAnsi"/>
                <w:sz w:val="22"/>
                <w:szCs w:val="22"/>
                <w:lang w:val="en-IE"/>
              </w:rPr>
              <w:t>Relevance</w:t>
            </w:r>
          </w:p>
          <w:p w:rsidR="009C29D0" w:rsidRPr="009C29D0" w:rsidP="009C29D0">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 xml:space="preserve">To what extent is the </w:t>
            </w:r>
            <w:r w:rsidR="00D379BB">
              <w:rPr>
                <w:rFonts w:asciiTheme="minorHAnsi" w:hAnsiTheme="minorHAnsi" w:cstheme="minorHAnsi"/>
                <w:sz w:val="22"/>
                <w:szCs w:val="22"/>
                <w:lang w:val="en-IE"/>
              </w:rPr>
              <w:t>SSD</w:t>
            </w:r>
            <w:r w:rsidRPr="008F2654">
              <w:rPr>
                <w:rFonts w:asciiTheme="minorHAnsi" w:hAnsiTheme="minorHAnsi" w:cstheme="minorHAnsi"/>
                <w:sz w:val="22"/>
                <w:szCs w:val="22"/>
                <w:lang w:val="en-IE"/>
              </w:rPr>
              <w:t xml:space="preserve"> still relevant </w:t>
            </w:r>
            <w:r w:rsidRPr="008F2654" w:rsidR="00D96028">
              <w:rPr>
                <w:rFonts w:asciiTheme="minorHAnsi" w:hAnsiTheme="minorHAnsi" w:cstheme="minorHAnsi"/>
                <w:sz w:val="22"/>
                <w:szCs w:val="22"/>
                <w:lang w:val="en-IE"/>
              </w:rPr>
              <w:t xml:space="preserve">and </w:t>
            </w:r>
            <w:r>
              <w:rPr>
                <w:rFonts w:asciiTheme="minorHAnsi" w:hAnsiTheme="minorHAnsi" w:cstheme="minorHAnsi"/>
                <w:sz w:val="22"/>
                <w:szCs w:val="22"/>
                <w:lang w:val="en-IE"/>
              </w:rPr>
              <w:t xml:space="preserve">does it </w:t>
            </w:r>
            <w:r w:rsidRPr="008F2654" w:rsidR="00D96028">
              <w:rPr>
                <w:rFonts w:asciiTheme="minorHAnsi" w:hAnsiTheme="minorHAnsi" w:cstheme="minorHAnsi"/>
                <w:sz w:val="22"/>
                <w:szCs w:val="22"/>
                <w:lang w:val="en-IE"/>
              </w:rPr>
              <w:t xml:space="preserve">correspond to the needs within the EU, </w:t>
            </w:r>
            <w:r w:rsidRPr="009C29D0">
              <w:rPr>
                <w:rFonts w:asciiTheme="minorHAnsi" w:hAnsiTheme="minorHAnsi" w:cstheme="minorHAnsi"/>
                <w:sz w:val="22"/>
                <w:szCs w:val="22"/>
                <w:lang w:val="en-IE"/>
              </w:rPr>
              <w:t xml:space="preserve">in particular as regards the stated policy ambitions in the European Green Deal, (which include the Farm-to-Fork strategy, the </w:t>
            </w:r>
            <w:r w:rsidR="00D379BB">
              <w:rPr>
                <w:rFonts w:asciiTheme="minorHAnsi" w:hAnsiTheme="minorHAnsi" w:cstheme="minorHAnsi"/>
                <w:sz w:val="22"/>
                <w:szCs w:val="22"/>
                <w:lang w:val="en-IE"/>
              </w:rPr>
              <w:t>upcoming</w:t>
            </w:r>
            <w:r w:rsidRPr="009C29D0" w:rsidR="00D379BB">
              <w:rPr>
                <w:rFonts w:asciiTheme="minorHAnsi" w:hAnsiTheme="minorHAnsi" w:cstheme="minorHAnsi"/>
                <w:sz w:val="22"/>
                <w:szCs w:val="22"/>
                <w:lang w:val="en-IE"/>
              </w:rPr>
              <w:t xml:space="preserve"> </w:t>
            </w:r>
            <w:r w:rsidRPr="009C29D0">
              <w:rPr>
                <w:rFonts w:asciiTheme="minorHAnsi" w:hAnsiTheme="minorHAnsi" w:cstheme="minorHAnsi"/>
                <w:sz w:val="22"/>
                <w:szCs w:val="22"/>
                <w:lang w:val="en-IE"/>
              </w:rPr>
              <w:t>Environmental Action Plan</w:t>
            </w:r>
            <w:r w:rsidR="00A043F8">
              <w:rPr>
                <w:rFonts w:asciiTheme="minorHAnsi" w:hAnsiTheme="minorHAnsi" w:cstheme="minorHAnsi"/>
                <w:sz w:val="22"/>
                <w:szCs w:val="22"/>
                <w:lang w:val="en-IE"/>
              </w:rPr>
              <w:t xml:space="preserve">, the new </w:t>
            </w:r>
            <w:r w:rsidRPr="009C29D0">
              <w:rPr>
                <w:rFonts w:asciiTheme="minorHAnsi" w:hAnsiTheme="minorHAnsi" w:cstheme="minorHAnsi"/>
                <w:sz w:val="22"/>
                <w:szCs w:val="22"/>
                <w:lang w:val="en-IE"/>
              </w:rPr>
              <w:t xml:space="preserve">Circular economy Action Plan, the upcoming zero-pollution initiatives, the Biodiversity Strategy and </w:t>
            </w:r>
            <w:r>
              <w:fldChar w:fldCharType="begin"/>
            </w:r>
            <w:r>
              <w:instrText xml:space="preserve"> HYPERLINK "https://ec.europa.eu/info/law/better-regulation/have-your-say/initiatives/12108-Climate-Law" </w:instrText>
            </w:r>
            <w:r>
              <w:fldChar w:fldCharType="separate"/>
            </w:r>
            <w:r w:rsidRPr="002E0B33">
              <w:rPr>
                <w:rStyle w:val="Hyperlink"/>
                <w:rFonts w:asciiTheme="minorHAnsi" w:hAnsiTheme="minorHAnsi" w:cstheme="minorHAnsi"/>
                <w:sz w:val="22"/>
                <w:szCs w:val="22"/>
                <w:lang w:val="en-IE"/>
              </w:rPr>
              <w:t>newly proposed EU Climate Law</w:t>
            </w:r>
            <w:r>
              <w:fldChar w:fldCharType="end"/>
            </w:r>
            <w:r w:rsidRPr="009C29D0">
              <w:rPr>
                <w:rFonts w:asciiTheme="minorHAnsi" w:hAnsiTheme="minorHAnsi" w:cstheme="minorHAnsi"/>
                <w:sz w:val="22"/>
                <w:szCs w:val="22"/>
                <w:lang w:val="en-IE"/>
              </w:rPr>
              <w:t>) as well as national ambitions as reflected in the observed changes in the national legislation and manage</w:t>
            </w:r>
            <w:r w:rsidR="00A043F8">
              <w:rPr>
                <w:rFonts w:asciiTheme="minorHAnsi" w:hAnsiTheme="minorHAnsi" w:cstheme="minorHAnsi"/>
                <w:sz w:val="22"/>
                <w:szCs w:val="22"/>
                <w:lang w:val="en-IE"/>
              </w:rPr>
              <w:t>ment of sewage sludge</w:t>
            </w:r>
            <w:r>
              <w:rPr>
                <w:rFonts w:asciiTheme="minorHAnsi" w:hAnsiTheme="minorHAnsi" w:cstheme="minorHAnsi"/>
                <w:sz w:val="22"/>
                <w:szCs w:val="22"/>
                <w:lang w:val="en-IE"/>
              </w:rPr>
              <w:t>?</w:t>
            </w:r>
          </w:p>
          <w:p w:rsidR="009C29D0" w:rsidRPr="009C29D0" w:rsidP="009C29D0">
            <w:pPr>
              <w:pStyle w:val="ListParagraph"/>
              <w:numPr>
                <w:ilvl w:val="0"/>
                <w:numId w:val="41"/>
              </w:numPr>
              <w:rPr>
                <w:rFonts w:asciiTheme="minorHAnsi" w:hAnsiTheme="minorHAnsi" w:cstheme="minorHAnsi"/>
                <w:sz w:val="22"/>
                <w:szCs w:val="22"/>
                <w:lang w:val="en-IE"/>
              </w:rPr>
            </w:pPr>
            <w:r w:rsidRPr="009C29D0">
              <w:rPr>
                <w:rFonts w:asciiTheme="minorHAnsi" w:hAnsiTheme="minorHAnsi" w:cstheme="minorHAnsi"/>
                <w:sz w:val="22"/>
                <w:szCs w:val="22"/>
                <w:lang w:val="en-IE"/>
              </w:rPr>
              <w:t xml:space="preserve"> </w:t>
            </w:r>
            <w:r w:rsidRPr="009C29D0" w:rsidR="00312E72">
              <w:rPr>
                <w:rFonts w:asciiTheme="minorHAnsi" w:hAnsiTheme="minorHAnsi" w:cstheme="minorHAnsi"/>
                <w:sz w:val="22"/>
                <w:szCs w:val="22"/>
                <w:lang w:val="en-IE"/>
              </w:rPr>
              <w:t xml:space="preserve">To what extent are the pollutants and their respective threshold values set in the Directive still appropriate? </w:t>
            </w:r>
            <w:r w:rsidRPr="009C29D0">
              <w:rPr>
                <w:rFonts w:asciiTheme="minorHAnsi" w:hAnsiTheme="minorHAnsi" w:cstheme="minorHAnsi"/>
                <w:sz w:val="22"/>
                <w:szCs w:val="22"/>
                <w:lang w:val="en-IE"/>
              </w:rPr>
              <w:t>Does the set of pollutants covered in the SSD still cover the most important pollutants in sewage sludge? If not, what are the missing pollutants in the Directive or pollutants that no longer need to covered and why?</w:t>
            </w:r>
          </w:p>
          <w:p w:rsidR="003D7E05" w:rsidRPr="008F2654" w:rsidP="009C29D0">
            <w:pPr>
              <w:pStyle w:val="ListParagraph"/>
              <w:numPr>
                <w:ilvl w:val="0"/>
                <w:numId w:val="41"/>
              </w:numPr>
              <w:rPr>
                <w:rFonts w:asciiTheme="minorHAnsi" w:hAnsiTheme="minorHAnsi" w:cstheme="minorHAnsi"/>
                <w:sz w:val="22"/>
                <w:szCs w:val="22"/>
                <w:lang w:val="en-IE"/>
              </w:rPr>
            </w:pPr>
            <w:r w:rsidRPr="008F2654">
              <w:rPr>
                <w:rFonts w:asciiTheme="minorHAnsi" w:hAnsiTheme="minorHAnsi" w:cstheme="minorHAnsi"/>
                <w:sz w:val="22"/>
                <w:szCs w:val="22"/>
                <w:lang w:val="en-IE"/>
              </w:rPr>
              <w:t>Has the initiative been flexible enough to respond to new issues</w:t>
            </w:r>
            <w:r w:rsidRPr="008F2654" w:rsidR="00D96028">
              <w:rPr>
                <w:rFonts w:asciiTheme="minorHAnsi" w:hAnsiTheme="minorHAnsi" w:cstheme="minorHAnsi"/>
                <w:sz w:val="22"/>
                <w:szCs w:val="22"/>
                <w:lang w:val="en-IE"/>
              </w:rPr>
              <w:t xml:space="preserve"> and emerging risks (e.g. contaminants of emerging concern</w:t>
            </w:r>
            <w:r w:rsidR="005F37DD">
              <w:rPr>
                <w:rFonts w:asciiTheme="minorHAnsi" w:hAnsiTheme="minorHAnsi" w:cstheme="minorHAnsi"/>
                <w:sz w:val="22"/>
                <w:szCs w:val="22"/>
                <w:lang w:val="en-IE"/>
              </w:rPr>
              <w:t>)</w:t>
            </w:r>
            <w:r w:rsidRPr="008F2654">
              <w:rPr>
                <w:rFonts w:asciiTheme="minorHAnsi" w:hAnsiTheme="minorHAnsi" w:cstheme="minorHAnsi"/>
                <w:sz w:val="22"/>
                <w:szCs w:val="22"/>
                <w:lang w:val="en-IE"/>
              </w:rPr>
              <w:t>?</w:t>
            </w:r>
            <w:r w:rsidR="009C29D0">
              <w:rPr>
                <w:rFonts w:asciiTheme="minorHAnsi" w:hAnsiTheme="minorHAnsi" w:cstheme="minorHAnsi"/>
                <w:sz w:val="22"/>
                <w:szCs w:val="22"/>
                <w:lang w:val="en-IE"/>
              </w:rPr>
              <w:t xml:space="preserve"> </w:t>
            </w:r>
            <w:r w:rsidRPr="009C29D0" w:rsidR="009C29D0">
              <w:rPr>
                <w:rFonts w:asciiTheme="minorHAnsi" w:hAnsiTheme="minorHAnsi" w:cstheme="minorHAnsi"/>
                <w:sz w:val="22"/>
                <w:szCs w:val="22"/>
                <w:lang w:val="en-IE"/>
              </w:rPr>
              <w:t>Does the SSD contain moot or redundant stipulations?</w:t>
            </w:r>
          </w:p>
          <w:p w:rsidR="00AA4BBD" w:rsidRPr="008F2654" w:rsidP="005E41BD">
            <w:pPr>
              <w:spacing w:after="0"/>
              <w:rPr>
                <w:rFonts w:asciiTheme="minorHAnsi" w:hAnsiTheme="minorHAnsi" w:cstheme="minorHAnsi"/>
                <w:sz w:val="22"/>
                <w:szCs w:val="22"/>
                <w:lang w:val="en-IE"/>
              </w:rPr>
            </w:pPr>
          </w:p>
          <w:p w:rsidR="003D7E05" w:rsidRPr="008F2654">
            <w:pPr>
              <w:pStyle w:val="ListParagraph"/>
              <w:ind w:left="0"/>
              <w:rPr>
                <w:rFonts w:asciiTheme="minorHAnsi" w:hAnsiTheme="minorHAnsi" w:cstheme="minorHAnsi"/>
                <w:sz w:val="22"/>
                <w:szCs w:val="22"/>
                <w:lang w:val="en-IE"/>
              </w:rPr>
            </w:pPr>
            <w:r w:rsidRPr="008F2654">
              <w:rPr>
                <w:rFonts w:asciiTheme="minorHAnsi" w:hAnsiTheme="minorHAnsi" w:cstheme="minorHAnsi"/>
                <w:sz w:val="22"/>
                <w:szCs w:val="22"/>
                <w:lang w:val="en-IE"/>
              </w:rPr>
              <w:t>European Added Value</w:t>
            </w:r>
          </w:p>
          <w:p w:rsidR="00312E72" w:rsidP="00D52C22">
            <w:pPr>
              <w:pStyle w:val="ListParagraph"/>
              <w:numPr>
                <w:ilvl w:val="0"/>
                <w:numId w:val="41"/>
              </w:numPr>
              <w:rPr>
                <w:rFonts w:asciiTheme="minorHAnsi" w:hAnsiTheme="minorHAnsi" w:cstheme="minorHAnsi"/>
                <w:sz w:val="22"/>
                <w:szCs w:val="22"/>
                <w:lang w:val="en-IE"/>
              </w:rPr>
            </w:pPr>
            <w:r w:rsidRPr="00AF2CA9">
              <w:rPr>
                <w:rFonts w:asciiTheme="minorHAnsi" w:hAnsiTheme="minorHAnsi" w:cstheme="minorHAnsi"/>
                <w:sz w:val="22"/>
                <w:szCs w:val="22"/>
                <w:lang w:val="en-IE"/>
              </w:rPr>
              <w:t xml:space="preserve">Are the results of the 2014 evaluation still valid with respect to the European </w:t>
            </w:r>
            <w:r w:rsidRPr="00AF2CA9" w:rsidR="00C27FD7">
              <w:rPr>
                <w:rFonts w:asciiTheme="minorHAnsi" w:hAnsiTheme="minorHAnsi" w:cstheme="minorHAnsi"/>
                <w:sz w:val="22"/>
                <w:szCs w:val="22"/>
                <w:lang w:val="en-IE"/>
              </w:rPr>
              <w:t>added value</w:t>
            </w:r>
            <w:r w:rsidRPr="00AF2CA9">
              <w:rPr>
                <w:rFonts w:asciiTheme="minorHAnsi" w:hAnsiTheme="minorHAnsi" w:cstheme="minorHAnsi"/>
                <w:sz w:val="22"/>
                <w:szCs w:val="22"/>
                <w:lang w:val="en-IE"/>
              </w:rPr>
              <w:t xml:space="preserve"> of the SSD? What has changed</w:t>
            </w:r>
            <w:r w:rsidRPr="00AF2CA9" w:rsidR="00D96028">
              <w:rPr>
                <w:rFonts w:asciiTheme="minorHAnsi" w:hAnsiTheme="minorHAnsi" w:cstheme="minorHAnsi"/>
                <w:sz w:val="22"/>
                <w:szCs w:val="22"/>
                <w:lang w:val="en-IE"/>
              </w:rPr>
              <w:t xml:space="preserve"> and which new risks have emerged</w:t>
            </w:r>
            <w:r w:rsidRPr="00AF2CA9">
              <w:rPr>
                <w:rFonts w:asciiTheme="minorHAnsi" w:hAnsiTheme="minorHAnsi" w:cstheme="minorHAnsi"/>
                <w:sz w:val="22"/>
                <w:szCs w:val="22"/>
                <w:lang w:val="en-IE"/>
              </w:rPr>
              <w:t>?</w:t>
            </w:r>
            <w:r w:rsidRPr="00AF2CA9">
              <w:rPr>
                <w:rFonts w:asciiTheme="minorHAnsi" w:hAnsiTheme="minorHAnsi" w:cstheme="minorHAnsi"/>
                <w:sz w:val="22"/>
                <w:szCs w:val="22"/>
                <w:lang w:val="en-IE"/>
              </w:rPr>
              <w:t xml:space="preserve"> </w:t>
            </w:r>
          </w:p>
          <w:p w:rsidR="00D73170" w:rsidRPr="00D52C22" w:rsidP="00D52C22">
            <w:pPr>
              <w:pStyle w:val="ListParagraph"/>
              <w:numPr>
                <w:ilvl w:val="0"/>
                <w:numId w:val="41"/>
              </w:numPr>
              <w:rPr>
                <w:rFonts w:asciiTheme="minorHAnsi" w:hAnsiTheme="minorHAnsi" w:cstheme="minorHAnsi"/>
                <w:sz w:val="22"/>
                <w:szCs w:val="22"/>
                <w:lang w:val="en-IE"/>
              </w:rPr>
            </w:pPr>
            <w:r w:rsidRPr="00D52C22">
              <w:rPr>
                <w:rFonts w:asciiTheme="minorHAnsi" w:hAnsiTheme="minorHAnsi" w:cstheme="minorHAnsi"/>
                <w:sz w:val="22"/>
                <w:szCs w:val="22"/>
                <w:lang w:val="en-IE"/>
              </w:rPr>
              <w:t>Have the various rules regulating sewage sludge set up by MS led to an unequal protection of human health and the environment across the EU, and if so to what extent</w:t>
            </w:r>
            <w:r w:rsidRPr="00D52C22" w:rsidR="00312E72">
              <w:rPr>
                <w:rFonts w:asciiTheme="minorHAnsi" w:hAnsiTheme="minorHAnsi" w:cstheme="minorHAnsi"/>
                <w:sz w:val="22"/>
                <w:szCs w:val="22"/>
                <w:lang w:val="en-IE"/>
              </w:rPr>
              <w:t xml:space="preserve">? </w:t>
            </w:r>
          </w:p>
        </w:tc>
      </w:tr>
      <w:tr w:rsidTr="001E2AAA">
        <w:tblPrEx>
          <w:tblW w:w="10283" w:type="dxa"/>
          <w:jc w:val="center"/>
          <w:tblLook w:val="01E0"/>
        </w:tblPrEx>
        <w:trPr>
          <w:jc w:val="center"/>
        </w:trPr>
        <w:tc>
          <w:tcPr>
            <w:tcW w:w="10283" w:type="dxa"/>
            <w:tcBorders>
              <w:bottom w:val="single" w:sz="4" w:space="0" w:color="auto"/>
            </w:tcBorders>
            <w:shd w:val="clear" w:color="auto" w:fill="0000FF"/>
          </w:tcPr>
          <w:p w:rsidR="001E0806" w:rsidRPr="00F9272E" w:rsidP="001E2AAA">
            <w:pPr>
              <w:spacing w:before="60" w:after="60"/>
              <w:jc w:val="center"/>
              <w:rPr>
                <w:rFonts w:ascii="Arial" w:hAnsi="Arial" w:cs="Arial"/>
                <w:b/>
                <w:sz w:val="22"/>
                <w:szCs w:val="22"/>
                <w:lang w:eastAsia="en-GB"/>
              </w:rPr>
            </w:pPr>
            <w:r w:rsidRPr="00F9272E">
              <w:rPr>
                <w:rFonts w:ascii="Arial" w:hAnsi="Arial" w:cs="Arial"/>
                <w:b/>
                <w:sz w:val="22"/>
                <w:szCs w:val="22"/>
                <w:highlight w:val="blue"/>
                <w:lang w:eastAsia="en-GB"/>
              </w:rPr>
              <w:t xml:space="preserve">B. Better </w:t>
            </w:r>
            <w:r w:rsidR="001E2AAA">
              <w:rPr>
                <w:rFonts w:ascii="Arial" w:hAnsi="Arial" w:cs="Arial"/>
                <w:b/>
                <w:sz w:val="22"/>
                <w:szCs w:val="22"/>
                <w:highlight w:val="blue"/>
                <w:lang w:eastAsia="en-GB"/>
              </w:rPr>
              <w:t>r</w:t>
            </w:r>
            <w:r w:rsidRPr="00F9272E">
              <w:rPr>
                <w:rFonts w:ascii="Arial" w:hAnsi="Arial" w:cs="Arial"/>
                <w:b/>
                <w:sz w:val="22"/>
                <w:szCs w:val="22"/>
                <w:highlight w:val="blue"/>
                <w:lang w:eastAsia="en-GB"/>
              </w:rPr>
              <w:t>egulation</w:t>
            </w:r>
          </w:p>
        </w:tc>
      </w:tr>
      <w:tr w:rsidTr="001E2AAA">
        <w:tblPrEx>
          <w:tblW w:w="10283" w:type="dxa"/>
          <w:jc w:val="center"/>
          <w:tblLook w:val="01E0"/>
        </w:tblPrEx>
        <w:trPr>
          <w:jc w:val="center"/>
        </w:trPr>
        <w:tc>
          <w:tcPr>
            <w:tcW w:w="10283" w:type="dxa"/>
            <w:tcBorders>
              <w:bottom w:val="single" w:sz="4" w:space="0" w:color="auto"/>
            </w:tcBorders>
            <w:shd w:val="clear" w:color="auto" w:fill="E6E6E6"/>
          </w:tcPr>
          <w:p w:rsidR="001E0806" w:rsidRPr="00F9272E" w:rsidP="00927501">
            <w:pPr>
              <w:spacing w:before="60" w:after="60"/>
              <w:rPr>
                <w:rFonts w:ascii="Arial" w:hAnsi="Arial" w:cs="Arial"/>
                <w:sz w:val="20"/>
                <w:lang w:eastAsia="en-GB"/>
              </w:rPr>
            </w:pPr>
            <w:r w:rsidRPr="00824525">
              <w:rPr>
                <w:rFonts w:ascii="Arial" w:hAnsi="Arial" w:cs="Arial"/>
                <w:b/>
                <w:sz w:val="20"/>
              </w:rPr>
              <w:t>Consultation</w:t>
            </w:r>
            <w:r>
              <w:rPr>
                <w:rFonts w:ascii="Arial" w:hAnsi="Arial" w:cs="Arial"/>
                <w:b/>
                <w:sz w:val="20"/>
              </w:rPr>
              <w:t xml:space="preserve"> of citizens and stakeholders</w:t>
            </w:r>
          </w:p>
        </w:tc>
      </w:tr>
      <w:tr w:rsidTr="001E2AAA">
        <w:tblPrEx>
          <w:tblW w:w="10283" w:type="dxa"/>
          <w:jc w:val="center"/>
          <w:tblLook w:val="01E0"/>
        </w:tblPrEx>
        <w:trPr>
          <w:jc w:val="center"/>
        </w:trPr>
        <w:tc>
          <w:tcPr>
            <w:tcW w:w="10283" w:type="dxa"/>
            <w:tcBorders>
              <w:bottom w:val="single" w:sz="4" w:space="0" w:color="auto"/>
            </w:tcBorders>
            <w:shd w:val="clear" w:color="auto" w:fill="auto"/>
          </w:tcPr>
          <w:p w:rsidR="00ED2AA6" w:rsidRPr="00891E6F" w:rsidP="00ED2AA6">
            <w:pPr>
              <w:spacing w:before="100" w:beforeAutospacing="1" w:after="100" w:afterAutospacing="1"/>
              <w:rPr>
                <w:rFonts w:asciiTheme="minorHAnsi" w:hAnsiTheme="minorHAnsi" w:cstheme="minorHAnsi"/>
                <w:sz w:val="22"/>
                <w:szCs w:val="22"/>
              </w:rPr>
            </w:pPr>
            <w:r>
              <w:rPr>
                <w:rFonts w:asciiTheme="minorHAnsi" w:hAnsiTheme="minorHAnsi" w:cstheme="minorHAnsi"/>
                <w:color w:val="000000" w:themeColor="text1"/>
                <w:sz w:val="22"/>
                <w:szCs w:val="22"/>
              </w:rPr>
              <w:t>I</w:t>
            </w:r>
            <w:r w:rsidRPr="00EA5830">
              <w:rPr>
                <w:rFonts w:asciiTheme="minorHAnsi" w:hAnsiTheme="minorHAnsi" w:cstheme="minorHAnsi"/>
                <w:color w:val="000000" w:themeColor="text1"/>
                <w:sz w:val="22"/>
                <w:szCs w:val="22"/>
              </w:rPr>
              <w:t xml:space="preserve">n line with the </w:t>
            </w:r>
            <w:r w:rsidRPr="006B4A4D">
              <w:rPr>
                <w:rFonts w:asciiTheme="minorHAnsi" w:hAnsiTheme="minorHAnsi" w:cstheme="minorHAnsi"/>
                <w:color w:val="000000" w:themeColor="text1"/>
                <w:sz w:val="22"/>
                <w:szCs w:val="22"/>
                <w:lang w:val="en-IE"/>
              </w:rPr>
              <w:t>Better</w:t>
            </w:r>
            <w:r w:rsidRPr="00EA5830">
              <w:rPr>
                <w:rFonts w:asciiTheme="minorHAnsi" w:hAnsiTheme="minorHAnsi" w:cstheme="minorHAnsi"/>
                <w:color w:val="000000" w:themeColor="text1"/>
                <w:sz w:val="22"/>
                <w:szCs w:val="22"/>
              </w:rPr>
              <w:t xml:space="preserve"> Regulation guidelines</w:t>
            </w:r>
            <w:r>
              <w:rPr>
                <w:rFonts w:asciiTheme="minorHAnsi" w:hAnsiTheme="minorHAnsi" w:cstheme="minorHAnsi"/>
                <w:sz w:val="22"/>
                <w:szCs w:val="22"/>
              </w:rPr>
              <w:t xml:space="preserve">, a </w:t>
            </w:r>
            <w:r w:rsidR="006B4A4D">
              <w:rPr>
                <w:rFonts w:asciiTheme="minorHAnsi" w:hAnsiTheme="minorHAnsi" w:cstheme="minorHAnsi"/>
                <w:sz w:val="22"/>
                <w:szCs w:val="22"/>
              </w:rPr>
              <w:t>stakeholder c</w:t>
            </w:r>
            <w:r>
              <w:rPr>
                <w:rFonts w:asciiTheme="minorHAnsi" w:hAnsiTheme="minorHAnsi" w:cstheme="minorHAnsi"/>
                <w:sz w:val="22"/>
                <w:szCs w:val="22"/>
              </w:rPr>
              <w:t xml:space="preserve">onsultation </w:t>
            </w:r>
            <w:r w:rsidR="006B4A4D">
              <w:rPr>
                <w:rFonts w:asciiTheme="minorHAnsi" w:hAnsiTheme="minorHAnsi" w:cstheme="minorHAnsi"/>
                <w:sz w:val="22"/>
                <w:szCs w:val="22"/>
              </w:rPr>
              <w:t>s</w:t>
            </w:r>
            <w:r>
              <w:rPr>
                <w:rFonts w:asciiTheme="minorHAnsi" w:hAnsiTheme="minorHAnsi" w:cstheme="minorHAnsi"/>
                <w:sz w:val="22"/>
                <w:szCs w:val="22"/>
              </w:rPr>
              <w:t xml:space="preserve">trategy </w:t>
            </w:r>
            <w:r>
              <w:rPr>
                <w:rFonts w:asciiTheme="minorHAnsi" w:hAnsiTheme="minorHAnsi" w:cstheme="minorHAnsi"/>
                <w:sz w:val="22"/>
                <w:szCs w:val="22"/>
              </w:rPr>
              <w:t>will be developed</w:t>
            </w:r>
            <w:r>
              <w:rPr>
                <w:rFonts w:asciiTheme="minorHAnsi" w:hAnsiTheme="minorHAnsi" w:cstheme="minorHAnsi"/>
                <w:sz w:val="22"/>
                <w:szCs w:val="22"/>
              </w:rPr>
              <w:t xml:space="preserve"> to ensure that all relevant stakeholders are consulted via the right means. </w:t>
            </w:r>
            <w:r>
              <w:rPr>
                <w:rFonts w:asciiTheme="minorHAnsi" w:hAnsiTheme="minorHAnsi" w:cstheme="minorHAnsi"/>
                <w:spacing w:val="-3"/>
                <w:sz w:val="22"/>
                <w:szCs w:val="22"/>
              </w:rPr>
              <w:t xml:space="preserve">As minimum, </w:t>
            </w:r>
            <w:r w:rsidR="006B4A4D">
              <w:rPr>
                <w:rFonts w:asciiTheme="minorHAnsi" w:hAnsiTheme="minorHAnsi" w:cstheme="minorHAnsi"/>
                <w:spacing w:val="-3"/>
                <w:sz w:val="22"/>
                <w:szCs w:val="22"/>
              </w:rPr>
              <w:t>this will include the</w:t>
            </w:r>
            <w:r>
              <w:rPr>
                <w:rFonts w:asciiTheme="minorHAnsi" w:hAnsiTheme="minorHAnsi" w:cstheme="minorHAnsi"/>
                <w:spacing w:val="-3"/>
                <w:sz w:val="22"/>
                <w:szCs w:val="22"/>
              </w:rPr>
              <w:t xml:space="preserve"> following </w:t>
            </w:r>
            <w:r w:rsidR="006B4A4D">
              <w:rPr>
                <w:rFonts w:asciiTheme="minorHAnsi" w:hAnsiTheme="minorHAnsi" w:cstheme="minorHAnsi"/>
                <w:spacing w:val="-3"/>
                <w:sz w:val="22"/>
                <w:szCs w:val="22"/>
              </w:rPr>
              <w:t>activities</w:t>
            </w:r>
            <w:r>
              <w:rPr>
                <w:rFonts w:asciiTheme="minorHAnsi" w:hAnsiTheme="minorHAnsi" w:cstheme="minorHAnsi"/>
                <w:spacing w:val="-3"/>
                <w:sz w:val="22"/>
                <w:szCs w:val="22"/>
              </w:rPr>
              <w:t xml:space="preserve"> </w:t>
            </w:r>
            <w:r w:rsidR="006B4A4D">
              <w:rPr>
                <w:rFonts w:asciiTheme="minorHAnsi" w:hAnsiTheme="minorHAnsi" w:cstheme="minorHAnsi"/>
                <w:spacing w:val="-3"/>
                <w:sz w:val="22"/>
                <w:szCs w:val="22"/>
              </w:rPr>
              <w:t>:</w:t>
            </w:r>
          </w:p>
          <w:p w:rsidR="00ED2AA6" w:rsidRPr="00EA5830" w:rsidP="00D52C22">
            <w:pPr>
              <w:pStyle w:val="ListParagraph"/>
              <w:numPr>
                <w:ilvl w:val="0"/>
                <w:numId w:val="39"/>
              </w:numPr>
              <w:spacing w:before="100" w:beforeAutospacing="1" w:after="100" w:afterAutospacing="1"/>
              <w:jc w:val="both"/>
              <w:rPr>
                <w:rFonts w:asciiTheme="minorHAnsi" w:hAnsiTheme="minorHAnsi" w:cstheme="minorHAnsi"/>
                <w:sz w:val="22"/>
                <w:szCs w:val="22"/>
                <w:lang w:val="en-GB"/>
              </w:rPr>
            </w:pPr>
            <w:r w:rsidRPr="00EA5830">
              <w:rPr>
                <w:rFonts w:asciiTheme="minorHAnsi" w:hAnsiTheme="minorHAnsi" w:cstheme="minorHAnsi"/>
                <w:sz w:val="22"/>
                <w:szCs w:val="22"/>
                <w:lang w:val="en-GB"/>
              </w:rPr>
              <w:t xml:space="preserve">An </w:t>
            </w:r>
            <w:r w:rsidRPr="00EA5830">
              <w:rPr>
                <w:rFonts w:asciiTheme="minorHAnsi" w:hAnsiTheme="minorHAnsi" w:cstheme="minorHAnsi"/>
                <w:b/>
                <w:sz w:val="22"/>
                <w:szCs w:val="22"/>
                <w:lang w:val="en-GB"/>
              </w:rPr>
              <w:t xml:space="preserve">online </w:t>
            </w:r>
            <w:r w:rsidR="006B4A4D">
              <w:rPr>
                <w:rFonts w:asciiTheme="minorHAnsi" w:hAnsiTheme="minorHAnsi" w:cstheme="minorHAnsi"/>
                <w:b/>
                <w:sz w:val="22"/>
                <w:szCs w:val="22"/>
                <w:lang w:val="en-GB"/>
              </w:rPr>
              <w:t>p</w:t>
            </w:r>
            <w:r w:rsidRPr="00EA5830">
              <w:rPr>
                <w:rFonts w:asciiTheme="minorHAnsi" w:hAnsiTheme="minorHAnsi" w:cstheme="minorHAnsi"/>
                <w:b/>
                <w:sz w:val="22"/>
                <w:szCs w:val="22"/>
                <w:lang w:val="en-GB"/>
              </w:rPr>
              <w:t>ublic consultation</w:t>
            </w:r>
            <w:r w:rsidR="00D52C22">
              <w:rPr>
                <w:rFonts w:asciiTheme="minorHAnsi" w:hAnsiTheme="minorHAnsi" w:cstheme="minorHAnsi"/>
                <w:b/>
                <w:sz w:val="22"/>
                <w:szCs w:val="22"/>
                <w:lang w:val="en-GB"/>
              </w:rPr>
              <w:t xml:space="preserve"> of minimum 12 weeks</w:t>
            </w:r>
            <w:r w:rsidRPr="00EA5830">
              <w:rPr>
                <w:rFonts w:asciiTheme="minorHAnsi" w:hAnsiTheme="minorHAnsi" w:cstheme="minorHAnsi"/>
                <w:sz w:val="22"/>
                <w:szCs w:val="22"/>
                <w:lang w:val="en-GB"/>
              </w:rPr>
              <w:t xml:space="preserve"> </w:t>
            </w:r>
            <w:r w:rsidRPr="005953A0" w:rsidR="00E43E01">
              <w:rPr>
                <w:rFonts w:asciiTheme="minorHAnsi" w:hAnsiTheme="minorHAnsi" w:cstheme="minorHAnsi"/>
                <w:sz w:val="22"/>
                <w:szCs w:val="22"/>
                <w:lang w:val="en-GB"/>
              </w:rPr>
              <w:t xml:space="preserve">in </w:t>
            </w:r>
            <w:r w:rsidRPr="005953A0" w:rsidR="005953A0">
              <w:rPr>
                <w:rFonts w:asciiTheme="minorHAnsi" w:hAnsiTheme="minorHAnsi" w:cstheme="minorHAnsi"/>
                <w:sz w:val="22"/>
                <w:szCs w:val="22"/>
                <w:lang w:val="en-GB"/>
              </w:rPr>
              <w:t xml:space="preserve">fourth </w:t>
            </w:r>
            <w:r w:rsidRPr="005953A0" w:rsidR="00E43E01">
              <w:rPr>
                <w:rFonts w:asciiTheme="minorHAnsi" w:hAnsiTheme="minorHAnsi" w:cstheme="minorHAnsi"/>
                <w:sz w:val="22"/>
                <w:szCs w:val="22"/>
                <w:lang w:val="en-GB"/>
              </w:rPr>
              <w:t xml:space="preserve">quarter of 2020 </w:t>
            </w:r>
            <w:r w:rsidRPr="005953A0">
              <w:rPr>
                <w:rFonts w:asciiTheme="minorHAnsi" w:hAnsiTheme="minorHAnsi" w:cstheme="minorHAnsi"/>
                <w:sz w:val="22"/>
                <w:szCs w:val="22"/>
                <w:lang w:val="en-GB"/>
              </w:rPr>
              <w:t>to gather</w:t>
            </w:r>
            <w:r w:rsidRPr="00EA5830">
              <w:rPr>
                <w:rFonts w:asciiTheme="minorHAnsi" w:hAnsiTheme="minorHAnsi" w:cstheme="minorHAnsi"/>
                <w:sz w:val="22"/>
                <w:szCs w:val="22"/>
                <w:lang w:val="en-GB"/>
              </w:rPr>
              <w:t xml:space="preserve"> public views and evidence for the evaluation of the </w:t>
            </w:r>
            <w:r w:rsidRPr="00EA5830">
              <w:rPr>
                <w:rFonts w:asciiTheme="minorHAnsi" w:hAnsiTheme="minorHAnsi" w:cstheme="minorHAnsi"/>
                <w:color w:val="000000" w:themeColor="text1"/>
                <w:sz w:val="22"/>
                <w:szCs w:val="22"/>
                <w:lang w:val="en-GB"/>
              </w:rPr>
              <w:t>Directive.</w:t>
            </w:r>
            <w:r w:rsidRPr="00EA5830" w:rsidR="00EC7543">
              <w:rPr>
                <w:rFonts w:asciiTheme="minorHAnsi" w:hAnsiTheme="minorHAnsi" w:cstheme="minorHAnsi"/>
                <w:color w:val="000000" w:themeColor="text1"/>
                <w:sz w:val="22"/>
                <w:szCs w:val="22"/>
                <w:lang w:val="en-GB"/>
              </w:rPr>
              <w:t xml:space="preserve"> The questionnaire will be</w:t>
            </w:r>
            <w:r w:rsidR="001655EF">
              <w:rPr>
                <w:rFonts w:asciiTheme="minorHAnsi" w:hAnsiTheme="minorHAnsi" w:cstheme="minorHAnsi"/>
                <w:color w:val="000000" w:themeColor="text1"/>
                <w:sz w:val="22"/>
                <w:szCs w:val="22"/>
                <w:lang w:val="en-GB"/>
              </w:rPr>
              <w:t xml:space="preserve"> </w:t>
            </w:r>
            <w:r w:rsidRPr="00EA5830" w:rsidR="00EC7543">
              <w:rPr>
                <w:rFonts w:asciiTheme="minorHAnsi" w:hAnsiTheme="minorHAnsi" w:cstheme="minorHAnsi"/>
                <w:color w:val="000000" w:themeColor="text1"/>
                <w:sz w:val="22"/>
                <w:szCs w:val="22"/>
                <w:lang w:val="en-GB"/>
              </w:rPr>
              <w:t>in EN</w:t>
            </w:r>
            <w:r w:rsidRPr="00EA5830" w:rsidR="002253B7">
              <w:rPr>
                <w:rFonts w:asciiTheme="minorHAnsi" w:hAnsiTheme="minorHAnsi" w:cstheme="minorHAnsi"/>
                <w:color w:val="000000" w:themeColor="text1"/>
                <w:sz w:val="22"/>
                <w:szCs w:val="22"/>
                <w:lang w:val="en-GB"/>
              </w:rPr>
              <w:t>, FR and DE</w:t>
            </w:r>
            <w:r w:rsidRPr="00EA5830" w:rsidR="00EC7543">
              <w:rPr>
                <w:rFonts w:asciiTheme="minorHAnsi" w:hAnsiTheme="minorHAnsi" w:cstheme="minorHAnsi"/>
                <w:color w:val="000000" w:themeColor="text1"/>
                <w:sz w:val="22"/>
                <w:szCs w:val="22"/>
                <w:lang w:val="en-GB"/>
              </w:rPr>
              <w:t xml:space="preserve">. Replies can be made in any of the 24 official EU languages and will be accessible via the Commission's central </w:t>
            </w:r>
            <w:r>
              <w:fldChar w:fldCharType="begin"/>
            </w:r>
            <w:r>
              <w:instrText xml:space="preserve"> HYPERLINK "http://ec.europa.eu/info/consultations_en" </w:instrText>
            </w:r>
            <w:r>
              <w:fldChar w:fldCharType="separate"/>
            </w:r>
            <w:r w:rsidRPr="00EA5830" w:rsidR="00EC7543">
              <w:rPr>
                <w:rFonts w:asciiTheme="minorHAnsi" w:hAnsiTheme="minorHAnsi" w:cstheme="minorHAnsi"/>
                <w:color w:val="000000" w:themeColor="text1"/>
                <w:sz w:val="22"/>
                <w:szCs w:val="22"/>
                <w:u w:val="single"/>
                <w:lang w:val="en-GB"/>
              </w:rPr>
              <w:t>public consultations page</w:t>
            </w:r>
            <w:r>
              <w:fldChar w:fldCharType="end"/>
            </w:r>
          </w:p>
          <w:p w:rsidR="00DD0D65" w:rsidRPr="00A043F8" w:rsidP="00D52C22">
            <w:pPr>
              <w:pStyle w:val="ListParagraph"/>
              <w:numPr>
                <w:ilvl w:val="0"/>
                <w:numId w:val="39"/>
              </w:numPr>
              <w:spacing w:before="100" w:beforeAutospacing="1" w:after="100" w:afterAutospacing="1"/>
              <w:jc w:val="both"/>
              <w:rPr>
                <w:rFonts w:asciiTheme="minorHAnsi" w:hAnsiTheme="minorHAnsi" w:cstheme="minorHAnsi"/>
                <w:sz w:val="22"/>
                <w:szCs w:val="22"/>
                <w:lang w:val="en-IE"/>
              </w:rPr>
            </w:pPr>
            <w:r w:rsidRPr="00891E6F">
              <w:rPr>
                <w:rFonts w:asciiTheme="minorHAnsi" w:hAnsiTheme="minorHAnsi" w:cstheme="minorHAnsi"/>
                <w:sz w:val="22"/>
                <w:szCs w:val="22"/>
                <w:lang w:val="en-IE"/>
              </w:rPr>
              <w:t>A</w:t>
            </w:r>
            <w:r w:rsidRPr="00891E6F" w:rsidR="00ED2AA6">
              <w:rPr>
                <w:rFonts w:asciiTheme="minorHAnsi" w:hAnsiTheme="minorHAnsi" w:cstheme="minorHAnsi"/>
                <w:sz w:val="22"/>
                <w:szCs w:val="22"/>
                <w:lang w:val="en-IE"/>
              </w:rPr>
              <w:t xml:space="preserve"> </w:t>
            </w:r>
            <w:r w:rsidRPr="00891E6F" w:rsidR="00ED2AA6">
              <w:rPr>
                <w:rFonts w:asciiTheme="minorHAnsi" w:hAnsiTheme="minorHAnsi" w:cstheme="minorHAnsi"/>
                <w:b/>
                <w:sz w:val="22"/>
                <w:szCs w:val="22"/>
                <w:lang w:val="en-IE"/>
              </w:rPr>
              <w:t>targeted stakeholder consultation</w:t>
            </w:r>
            <w:r w:rsidRPr="00891E6F" w:rsidR="00ED2AA6">
              <w:rPr>
                <w:rFonts w:asciiTheme="minorHAnsi" w:hAnsiTheme="minorHAnsi" w:cstheme="minorHAnsi"/>
                <w:sz w:val="22"/>
                <w:szCs w:val="22"/>
                <w:lang w:val="en-IE"/>
              </w:rPr>
              <w:t xml:space="preserve"> </w:t>
            </w:r>
            <w:r w:rsidRPr="00891E6F" w:rsidR="002253B7">
              <w:rPr>
                <w:rFonts w:asciiTheme="minorHAnsi" w:hAnsiTheme="minorHAnsi" w:cstheme="minorHAnsi"/>
                <w:sz w:val="22"/>
                <w:szCs w:val="22"/>
                <w:lang w:val="en-IE"/>
              </w:rPr>
              <w:t xml:space="preserve">also </w:t>
            </w:r>
            <w:r w:rsidRPr="00891E6F">
              <w:rPr>
                <w:rFonts w:asciiTheme="minorHAnsi" w:hAnsiTheme="minorHAnsi" w:cstheme="minorHAnsi"/>
                <w:sz w:val="22"/>
                <w:szCs w:val="22"/>
                <w:lang w:val="en-IE"/>
              </w:rPr>
              <w:t>in the third quarter of 2020</w:t>
            </w:r>
            <w:r w:rsidRPr="00891E6F" w:rsidR="00ED2AA6">
              <w:rPr>
                <w:rFonts w:asciiTheme="minorHAnsi" w:hAnsiTheme="minorHAnsi" w:cstheme="minorHAnsi"/>
                <w:sz w:val="22"/>
                <w:szCs w:val="22"/>
                <w:lang w:val="en-IE"/>
              </w:rPr>
              <w:t xml:space="preserve"> to gather information and collect views of stakeholder</w:t>
            </w:r>
            <w:r w:rsidRPr="00891E6F">
              <w:rPr>
                <w:rFonts w:asciiTheme="minorHAnsi" w:hAnsiTheme="minorHAnsi" w:cstheme="minorHAnsi"/>
                <w:sz w:val="22"/>
                <w:szCs w:val="22"/>
                <w:lang w:val="en-IE"/>
              </w:rPr>
              <w:t>s</w:t>
            </w:r>
            <w:r w:rsidRPr="00891E6F" w:rsidR="00ED2AA6">
              <w:rPr>
                <w:rFonts w:asciiTheme="minorHAnsi" w:hAnsiTheme="minorHAnsi" w:cstheme="minorHAnsi"/>
                <w:sz w:val="22"/>
                <w:szCs w:val="22"/>
                <w:lang w:val="en-IE"/>
              </w:rPr>
              <w:t xml:space="preserve"> </w:t>
            </w:r>
            <w:r w:rsidRPr="00891E6F" w:rsidR="006B4A4D">
              <w:rPr>
                <w:rFonts w:asciiTheme="minorHAnsi" w:hAnsiTheme="minorHAnsi" w:cstheme="minorHAnsi"/>
                <w:sz w:val="22"/>
                <w:szCs w:val="22"/>
                <w:lang w:val="en-IE"/>
              </w:rPr>
              <w:t>representing the key sectors and organisations concerned</w:t>
            </w:r>
            <w:r w:rsidRPr="00891E6F" w:rsidR="00ED2AA6">
              <w:rPr>
                <w:rFonts w:asciiTheme="minorHAnsi" w:hAnsiTheme="minorHAnsi" w:cstheme="minorHAnsi"/>
                <w:sz w:val="22"/>
                <w:szCs w:val="22"/>
                <w:lang w:val="en-IE"/>
              </w:rPr>
              <w:t xml:space="preserve">. </w:t>
            </w:r>
            <w:r w:rsidRPr="00891E6F" w:rsidR="00ED2AA6">
              <w:rPr>
                <w:rFonts w:asciiTheme="minorHAnsi" w:hAnsiTheme="minorHAnsi" w:cstheme="minorHAnsi"/>
                <w:sz w:val="22"/>
                <w:szCs w:val="22"/>
                <w:lang w:val="en-IE"/>
              </w:rPr>
              <w:t>The following stakeholder groups have been identified as particularly relevant</w:t>
            </w:r>
            <w:r w:rsidRPr="00891E6F" w:rsidR="002253B7">
              <w:rPr>
                <w:rFonts w:asciiTheme="minorHAnsi" w:hAnsiTheme="minorHAnsi" w:cstheme="minorHAnsi"/>
                <w:sz w:val="22"/>
                <w:szCs w:val="22"/>
                <w:lang w:val="en-IE"/>
              </w:rPr>
              <w:t xml:space="preserve">: </w:t>
            </w:r>
            <w:r w:rsidR="007C1C8E">
              <w:rPr>
                <w:rFonts w:asciiTheme="minorHAnsi" w:hAnsiTheme="minorHAnsi" w:cstheme="minorHAnsi"/>
                <w:sz w:val="22"/>
                <w:szCs w:val="22"/>
                <w:lang w:val="en-IE"/>
              </w:rPr>
              <w:t xml:space="preserve">water and </w:t>
            </w:r>
            <w:r w:rsidRPr="00891E6F" w:rsidR="00ED2AA6">
              <w:rPr>
                <w:rFonts w:asciiTheme="minorHAnsi" w:hAnsiTheme="minorHAnsi" w:cstheme="minorHAnsi"/>
                <w:sz w:val="22"/>
                <w:szCs w:val="22"/>
                <w:lang w:val="en-IE"/>
              </w:rPr>
              <w:t xml:space="preserve">wastewater </w:t>
            </w:r>
            <w:r w:rsidRPr="00891E6F" w:rsidR="002253B7">
              <w:rPr>
                <w:rFonts w:asciiTheme="minorHAnsi" w:hAnsiTheme="minorHAnsi" w:cstheme="minorHAnsi"/>
                <w:sz w:val="22"/>
                <w:szCs w:val="22"/>
                <w:lang w:val="en-IE"/>
              </w:rPr>
              <w:t xml:space="preserve">plants </w:t>
            </w:r>
            <w:r w:rsidRPr="00891E6F" w:rsidR="00ED2AA6">
              <w:rPr>
                <w:rFonts w:asciiTheme="minorHAnsi" w:hAnsiTheme="minorHAnsi" w:cstheme="minorHAnsi"/>
                <w:sz w:val="22"/>
                <w:szCs w:val="22"/>
                <w:lang w:val="en-IE"/>
              </w:rPr>
              <w:t xml:space="preserve">and </w:t>
            </w:r>
            <w:r w:rsidRPr="00891E6F" w:rsidR="002253B7">
              <w:rPr>
                <w:rFonts w:asciiTheme="minorHAnsi" w:hAnsiTheme="minorHAnsi" w:cstheme="minorHAnsi"/>
                <w:sz w:val="22"/>
                <w:szCs w:val="22"/>
                <w:lang w:val="en-IE"/>
              </w:rPr>
              <w:t xml:space="preserve">sewage </w:t>
            </w:r>
            <w:r w:rsidRPr="00891E6F" w:rsidR="00ED2AA6">
              <w:rPr>
                <w:rFonts w:asciiTheme="minorHAnsi" w:hAnsiTheme="minorHAnsi" w:cstheme="minorHAnsi"/>
                <w:sz w:val="22"/>
                <w:szCs w:val="22"/>
                <w:lang w:val="en-IE"/>
              </w:rPr>
              <w:t xml:space="preserve">sludge </w:t>
            </w:r>
            <w:r w:rsidR="00D53739">
              <w:rPr>
                <w:rFonts w:asciiTheme="minorHAnsi" w:hAnsiTheme="minorHAnsi" w:cstheme="minorHAnsi"/>
                <w:sz w:val="22"/>
                <w:szCs w:val="22"/>
                <w:lang w:val="en-IE"/>
              </w:rPr>
              <w:t>producers/managers</w:t>
            </w:r>
            <w:r w:rsidRPr="00891E6F" w:rsidR="002253B7">
              <w:rPr>
                <w:rFonts w:asciiTheme="minorHAnsi" w:hAnsiTheme="minorHAnsi" w:cstheme="minorHAnsi"/>
                <w:sz w:val="22"/>
                <w:szCs w:val="22"/>
                <w:lang w:val="en-IE"/>
              </w:rPr>
              <w:t xml:space="preserve">, </w:t>
            </w:r>
            <w:r w:rsidRPr="00891E6F" w:rsidR="008A1F47">
              <w:rPr>
                <w:rFonts w:asciiTheme="minorHAnsi" w:hAnsiTheme="minorHAnsi" w:cstheme="minorHAnsi"/>
                <w:sz w:val="22"/>
                <w:szCs w:val="22"/>
                <w:lang w:val="en-IE"/>
              </w:rPr>
              <w:t xml:space="preserve">compost and </w:t>
            </w:r>
            <w:r w:rsidRPr="00891E6F" w:rsidR="008A1F47">
              <w:rPr>
                <w:rFonts w:asciiTheme="minorHAnsi" w:hAnsiTheme="minorHAnsi" w:cstheme="minorHAnsi"/>
                <w:sz w:val="22"/>
                <w:szCs w:val="22"/>
                <w:lang w:val="en-IE"/>
              </w:rPr>
              <w:t>digestate</w:t>
            </w:r>
            <w:r w:rsidRPr="00891E6F" w:rsidR="002253B7">
              <w:rPr>
                <w:rFonts w:asciiTheme="minorHAnsi" w:hAnsiTheme="minorHAnsi" w:cstheme="minorHAnsi"/>
                <w:sz w:val="22"/>
                <w:szCs w:val="22"/>
                <w:lang w:val="en-IE"/>
              </w:rPr>
              <w:t xml:space="preserve"> industry</w:t>
            </w:r>
            <w:r w:rsidRPr="00891E6F" w:rsidR="008A1F47">
              <w:rPr>
                <w:rFonts w:asciiTheme="minorHAnsi" w:hAnsiTheme="minorHAnsi" w:cstheme="minorHAnsi"/>
                <w:sz w:val="22"/>
                <w:szCs w:val="22"/>
                <w:lang w:val="en-IE"/>
              </w:rPr>
              <w:t xml:space="preserve">, </w:t>
            </w:r>
            <w:r w:rsidRPr="00891E6F">
              <w:rPr>
                <w:rFonts w:asciiTheme="minorHAnsi" w:hAnsiTheme="minorHAnsi" w:cstheme="minorHAnsi"/>
                <w:sz w:val="22"/>
                <w:szCs w:val="22"/>
                <w:lang w:val="en-IE"/>
              </w:rPr>
              <w:t>fertiliser</w:t>
            </w:r>
            <w:r w:rsidR="009C29D0">
              <w:rPr>
                <w:rFonts w:asciiTheme="minorHAnsi" w:hAnsiTheme="minorHAnsi" w:cstheme="minorHAnsi"/>
                <w:sz w:val="22"/>
                <w:szCs w:val="22"/>
                <w:lang w:val="en-IE"/>
              </w:rPr>
              <w:t xml:space="preserve"> and fertilising products</w:t>
            </w:r>
            <w:r w:rsidRPr="00891E6F">
              <w:rPr>
                <w:rFonts w:asciiTheme="minorHAnsi" w:hAnsiTheme="minorHAnsi" w:cstheme="minorHAnsi"/>
                <w:sz w:val="22"/>
                <w:szCs w:val="22"/>
                <w:lang w:val="en-IE"/>
              </w:rPr>
              <w:t xml:space="preserve"> industry, </w:t>
            </w:r>
            <w:r w:rsidR="006176E9">
              <w:rPr>
                <w:rFonts w:asciiTheme="minorHAnsi" w:hAnsiTheme="minorHAnsi" w:cstheme="minorHAnsi"/>
                <w:sz w:val="22"/>
                <w:szCs w:val="22"/>
                <w:lang w:val="en-IE"/>
              </w:rPr>
              <w:t xml:space="preserve">food industry, </w:t>
            </w:r>
            <w:r w:rsidRPr="00891E6F" w:rsidR="008A1F47">
              <w:rPr>
                <w:rFonts w:asciiTheme="minorHAnsi" w:hAnsiTheme="minorHAnsi" w:cstheme="minorHAnsi"/>
                <w:sz w:val="22"/>
                <w:szCs w:val="22"/>
                <w:lang w:val="en-IE"/>
              </w:rPr>
              <w:t>European</w:t>
            </w:r>
            <w:r w:rsidR="00D53739">
              <w:rPr>
                <w:rFonts w:asciiTheme="minorHAnsi" w:hAnsiTheme="minorHAnsi" w:cstheme="minorHAnsi"/>
                <w:sz w:val="22"/>
                <w:szCs w:val="22"/>
                <w:lang w:val="en-IE"/>
              </w:rPr>
              <w:t>-wide</w:t>
            </w:r>
            <w:r w:rsidRPr="00891E6F" w:rsidR="008A1F47">
              <w:rPr>
                <w:rFonts w:asciiTheme="minorHAnsi" w:hAnsiTheme="minorHAnsi" w:cstheme="minorHAnsi"/>
                <w:sz w:val="22"/>
                <w:szCs w:val="22"/>
                <w:lang w:val="en-IE"/>
              </w:rPr>
              <w:t xml:space="preserve"> waste management industry, </w:t>
            </w:r>
            <w:r w:rsidRPr="00891E6F" w:rsidR="007C1C8E">
              <w:rPr>
                <w:rFonts w:asciiTheme="minorHAnsi" w:hAnsiTheme="minorHAnsi" w:cstheme="minorHAnsi"/>
                <w:sz w:val="22"/>
                <w:szCs w:val="22"/>
                <w:lang w:val="en-IE"/>
              </w:rPr>
              <w:t>biogas</w:t>
            </w:r>
            <w:r w:rsidR="009231F1">
              <w:rPr>
                <w:rFonts w:asciiTheme="minorHAnsi" w:hAnsiTheme="minorHAnsi" w:cstheme="minorHAnsi"/>
                <w:sz w:val="22"/>
                <w:szCs w:val="22"/>
                <w:lang w:val="en-IE"/>
              </w:rPr>
              <w:t xml:space="preserve"> industry</w:t>
            </w:r>
            <w:r w:rsidR="007C1C8E">
              <w:rPr>
                <w:rFonts w:asciiTheme="minorHAnsi" w:hAnsiTheme="minorHAnsi" w:cstheme="minorHAnsi"/>
                <w:sz w:val="22"/>
                <w:szCs w:val="22"/>
                <w:lang w:val="en-IE"/>
              </w:rPr>
              <w:t>,</w:t>
            </w:r>
            <w:r w:rsidRPr="00891E6F" w:rsidR="007C1C8E">
              <w:rPr>
                <w:rFonts w:asciiTheme="minorHAnsi" w:hAnsiTheme="minorHAnsi" w:cstheme="minorHAnsi"/>
                <w:sz w:val="22"/>
                <w:szCs w:val="22"/>
                <w:lang w:val="en-IE"/>
              </w:rPr>
              <w:t xml:space="preserve"> </w:t>
            </w:r>
            <w:r w:rsidR="006176E9">
              <w:rPr>
                <w:rFonts w:asciiTheme="minorHAnsi" w:hAnsiTheme="minorHAnsi" w:cstheme="minorHAnsi"/>
                <w:sz w:val="22"/>
                <w:szCs w:val="22"/>
                <w:lang w:val="en-IE"/>
              </w:rPr>
              <w:t>farmer</w:t>
            </w:r>
            <w:r w:rsidR="00D53739">
              <w:rPr>
                <w:rFonts w:asciiTheme="minorHAnsi" w:hAnsiTheme="minorHAnsi" w:cstheme="minorHAnsi"/>
                <w:sz w:val="22"/>
                <w:szCs w:val="22"/>
                <w:lang w:val="en-IE"/>
              </w:rPr>
              <w:t>s/agricultural</w:t>
            </w:r>
            <w:r w:rsidR="006176E9">
              <w:rPr>
                <w:rFonts w:asciiTheme="minorHAnsi" w:hAnsiTheme="minorHAnsi" w:cstheme="minorHAnsi"/>
                <w:sz w:val="22"/>
                <w:szCs w:val="22"/>
                <w:lang w:val="en-IE"/>
              </w:rPr>
              <w:t xml:space="preserve"> associations</w:t>
            </w:r>
            <w:r w:rsidR="00D53739">
              <w:rPr>
                <w:rFonts w:asciiTheme="minorHAnsi" w:hAnsiTheme="minorHAnsi" w:cstheme="minorHAnsi"/>
                <w:sz w:val="22"/>
                <w:szCs w:val="22"/>
                <w:lang w:val="en-IE"/>
              </w:rPr>
              <w:t xml:space="preserve"> at national and regional </w:t>
            </w:r>
            <w:r w:rsidRPr="00A043F8" w:rsidR="00D53739">
              <w:rPr>
                <w:rFonts w:asciiTheme="minorHAnsi" w:hAnsiTheme="minorHAnsi" w:cstheme="minorHAnsi"/>
                <w:sz w:val="22"/>
                <w:szCs w:val="22"/>
                <w:lang w:val="en-IE"/>
              </w:rPr>
              <w:t>level</w:t>
            </w:r>
            <w:r w:rsidRPr="00A043F8" w:rsidR="00F07D32">
              <w:rPr>
                <w:rFonts w:asciiTheme="minorHAnsi" w:hAnsiTheme="minorHAnsi" w:cstheme="minorHAnsi"/>
                <w:sz w:val="22"/>
                <w:szCs w:val="22"/>
                <w:lang w:val="en-IE"/>
              </w:rPr>
              <w:t xml:space="preserve">, </w:t>
            </w:r>
            <w:r w:rsidRPr="00A043F8" w:rsidR="008A1F47">
              <w:rPr>
                <w:rFonts w:asciiTheme="minorHAnsi" w:hAnsiTheme="minorHAnsi" w:cstheme="minorHAnsi"/>
                <w:sz w:val="22"/>
                <w:szCs w:val="22"/>
                <w:lang w:val="en-IE"/>
              </w:rPr>
              <w:t>national competent authoritie</w:t>
            </w:r>
            <w:r w:rsidRPr="00A043F8" w:rsidR="009231F1">
              <w:rPr>
                <w:rFonts w:asciiTheme="minorHAnsi" w:hAnsiTheme="minorHAnsi" w:cstheme="minorHAnsi"/>
                <w:sz w:val="22"/>
                <w:szCs w:val="22"/>
                <w:lang w:val="en-IE"/>
              </w:rPr>
              <w:t xml:space="preserve">s and enforcement agencies, NGOs, </w:t>
            </w:r>
            <w:r w:rsidRPr="00A043F8" w:rsidR="00310453">
              <w:rPr>
                <w:rFonts w:asciiTheme="minorHAnsi" w:hAnsiTheme="minorHAnsi" w:cstheme="minorHAnsi"/>
                <w:sz w:val="22"/>
                <w:szCs w:val="22"/>
                <w:lang w:val="en-IE"/>
              </w:rPr>
              <w:t xml:space="preserve">consumer organisations, </w:t>
            </w:r>
            <w:r w:rsidRPr="00A043F8" w:rsidR="00C05F0F">
              <w:rPr>
                <w:rFonts w:asciiTheme="minorHAnsi" w:hAnsiTheme="minorHAnsi" w:cstheme="minorHAnsi"/>
                <w:sz w:val="22"/>
                <w:szCs w:val="22"/>
                <w:lang w:val="en-IE"/>
              </w:rPr>
              <w:t xml:space="preserve">relevant </w:t>
            </w:r>
            <w:r w:rsidRPr="00A043F8" w:rsidR="00310453">
              <w:rPr>
                <w:rFonts w:asciiTheme="minorHAnsi" w:hAnsiTheme="minorHAnsi" w:cstheme="minorHAnsi"/>
                <w:sz w:val="22"/>
                <w:szCs w:val="22"/>
                <w:lang w:val="en-IE"/>
              </w:rPr>
              <w:t>international organisation</w:t>
            </w:r>
            <w:r w:rsidRPr="00A043F8" w:rsidR="00D53739">
              <w:rPr>
                <w:rFonts w:asciiTheme="minorHAnsi" w:hAnsiTheme="minorHAnsi" w:cstheme="minorHAnsi"/>
                <w:sz w:val="22"/>
                <w:szCs w:val="22"/>
                <w:lang w:val="en-IE"/>
              </w:rPr>
              <w:t>s</w:t>
            </w:r>
            <w:r w:rsidRPr="00A043F8" w:rsidR="00310453">
              <w:rPr>
                <w:rFonts w:asciiTheme="minorHAnsi" w:hAnsiTheme="minorHAnsi" w:cstheme="minorHAnsi"/>
                <w:sz w:val="22"/>
                <w:szCs w:val="22"/>
                <w:lang w:val="en-IE"/>
              </w:rPr>
              <w:t xml:space="preserve">, </w:t>
            </w:r>
            <w:r w:rsidRPr="00A043F8" w:rsidR="008A1F47">
              <w:rPr>
                <w:rFonts w:asciiTheme="minorHAnsi" w:hAnsiTheme="minorHAnsi" w:cstheme="minorHAnsi"/>
                <w:sz w:val="22"/>
                <w:szCs w:val="22"/>
                <w:lang w:val="en-IE"/>
              </w:rPr>
              <w:t>scientific and academic institutions as well as health and environmental experts</w:t>
            </w:r>
            <w:r w:rsidRPr="00A043F8" w:rsidR="006C6660">
              <w:rPr>
                <w:rFonts w:asciiTheme="minorHAnsi" w:hAnsiTheme="minorHAnsi" w:cstheme="minorHAnsi"/>
                <w:sz w:val="22"/>
                <w:szCs w:val="22"/>
                <w:lang w:val="en-IE"/>
              </w:rPr>
              <w:t xml:space="preserve"> and associations representing the users of sewage sludge or its derived products</w:t>
            </w:r>
            <w:r w:rsidRPr="00A043F8" w:rsidR="008A1F47">
              <w:rPr>
                <w:rFonts w:asciiTheme="minorHAnsi" w:hAnsiTheme="minorHAnsi" w:cstheme="minorHAnsi"/>
                <w:sz w:val="22"/>
                <w:szCs w:val="22"/>
                <w:lang w:val="en-IE"/>
              </w:rPr>
              <w:t>.</w:t>
            </w:r>
            <w:r w:rsidRPr="00A043F8" w:rsidR="00EC7543">
              <w:rPr>
                <w:rFonts w:asciiTheme="minorHAnsi" w:hAnsiTheme="minorHAnsi" w:cstheme="minorHAnsi"/>
                <w:sz w:val="22"/>
                <w:szCs w:val="22"/>
                <w:lang w:val="en-IE"/>
              </w:rPr>
              <w:t xml:space="preserve"> </w:t>
            </w:r>
            <w:r w:rsidRPr="00A043F8" w:rsidR="008A1F47">
              <w:rPr>
                <w:rFonts w:asciiTheme="minorHAnsi" w:hAnsiTheme="minorHAnsi" w:cstheme="minorHAnsi"/>
                <w:sz w:val="22"/>
                <w:szCs w:val="22"/>
                <w:lang w:val="en-IE"/>
              </w:rPr>
              <w:t xml:space="preserve">This consultation </w:t>
            </w:r>
            <w:r w:rsidRPr="00A043F8" w:rsidR="008A1F47">
              <w:rPr>
                <w:rFonts w:asciiTheme="minorHAnsi" w:hAnsiTheme="minorHAnsi" w:cstheme="minorHAnsi"/>
                <w:sz w:val="22"/>
                <w:szCs w:val="22"/>
                <w:lang w:val="en-IE"/>
              </w:rPr>
              <w:t>is envisaged</w:t>
            </w:r>
            <w:r w:rsidRPr="00A043F8" w:rsidR="008A1F47">
              <w:rPr>
                <w:rFonts w:asciiTheme="minorHAnsi" w:hAnsiTheme="minorHAnsi" w:cstheme="minorHAnsi"/>
                <w:sz w:val="22"/>
                <w:szCs w:val="22"/>
                <w:lang w:val="en-IE"/>
              </w:rPr>
              <w:t xml:space="preserve"> to comprise a dedicated questionnaire, to be submitted </w:t>
            </w:r>
            <w:r w:rsidRPr="00A043F8" w:rsidR="00EC7543">
              <w:rPr>
                <w:rFonts w:asciiTheme="minorHAnsi" w:hAnsiTheme="minorHAnsi" w:cstheme="minorHAnsi"/>
                <w:sz w:val="22"/>
                <w:szCs w:val="22"/>
                <w:lang w:val="en-IE"/>
              </w:rPr>
              <w:t>electronically</w:t>
            </w:r>
            <w:r w:rsidRPr="00A043F8" w:rsidR="008A1F47">
              <w:rPr>
                <w:rFonts w:asciiTheme="minorHAnsi" w:hAnsiTheme="minorHAnsi" w:cstheme="minorHAnsi"/>
                <w:sz w:val="22"/>
                <w:szCs w:val="22"/>
                <w:lang w:val="en-IE"/>
              </w:rPr>
              <w:t>, followed-up</w:t>
            </w:r>
            <w:r w:rsidRPr="00A043F8" w:rsidR="002253B7">
              <w:rPr>
                <w:rFonts w:asciiTheme="minorHAnsi" w:hAnsiTheme="minorHAnsi" w:cstheme="minorHAnsi"/>
                <w:sz w:val="22"/>
                <w:szCs w:val="22"/>
                <w:lang w:val="en-IE"/>
              </w:rPr>
              <w:t xml:space="preserve"> as appropriate</w:t>
            </w:r>
            <w:r w:rsidRPr="00A043F8" w:rsidR="008A1F47">
              <w:rPr>
                <w:rFonts w:asciiTheme="minorHAnsi" w:hAnsiTheme="minorHAnsi" w:cstheme="minorHAnsi"/>
                <w:sz w:val="22"/>
                <w:szCs w:val="22"/>
                <w:lang w:val="en-IE"/>
              </w:rPr>
              <w:t xml:space="preserve"> by means of dedicated telephone or </w:t>
            </w:r>
            <w:r w:rsidRPr="00A043F8" w:rsidR="009231F1">
              <w:rPr>
                <w:rFonts w:asciiTheme="minorHAnsi" w:hAnsiTheme="minorHAnsi" w:cstheme="minorHAnsi"/>
                <w:sz w:val="22"/>
                <w:szCs w:val="22"/>
                <w:lang w:val="en-IE"/>
              </w:rPr>
              <w:t>face-to-face</w:t>
            </w:r>
            <w:r w:rsidRPr="00A043F8" w:rsidR="008A1F47">
              <w:rPr>
                <w:rFonts w:asciiTheme="minorHAnsi" w:hAnsiTheme="minorHAnsi" w:cstheme="minorHAnsi"/>
                <w:sz w:val="22"/>
                <w:szCs w:val="22"/>
                <w:lang w:val="en-IE"/>
              </w:rPr>
              <w:t xml:space="preserve"> interviews</w:t>
            </w:r>
            <w:r w:rsidRPr="00A043F8" w:rsidR="00C05F0F">
              <w:rPr>
                <w:rFonts w:asciiTheme="minorHAnsi" w:hAnsiTheme="minorHAnsi" w:cstheme="minorHAnsi"/>
                <w:sz w:val="22"/>
                <w:szCs w:val="22"/>
                <w:lang w:val="en-IE"/>
              </w:rPr>
              <w:t xml:space="preserve">. </w:t>
            </w:r>
          </w:p>
          <w:p w:rsidR="00EC7543" w:rsidRPr="00F9272E" w:rsidP="00EC7543">
            <w:pPr>
              <w:spacing w:before="100" w:beforeAutospacing="1" w:after="100" w:afterAutospacing="1"/>
              <w:rPr>
                <w:rFonts w:ascii="Arial" w:hAnsi="Arial" w:cs="Arial"/>
                <w:i/>
                <w:color w:val="1036A0"/>
                <w:sz w:val="20"/>
                <w:lang w:eastAsia="en-GB"/>
              </w:rPr>
            </w:pPr>
            <w:r>
              <w:rPr>
                <w:rFonts w:asciiTheme="minorHAnsi" w:hAnsiTheme="minorHAnsi" w:cstheme="minorHAnsi"/>
                <w:sz w:val="22"/>
                <w:szCs w:val="22"/>
                <w:lang w:val="en-IE"/>
              </w:rPr>
              <w:t>A synopsis report with a</w:t>
            </w:r>
            <w:r w:rsidRPr="00891E6F">
              <w:rPr>
                <w:rFonts w:asciiTheme="minorHAnsi" w:hAnsiTheme="minorHAnsi" w:cstheme="minorHAnsi"/>
                <w:sz w:val="22"/>
                <w:szCs w:val="22"/>
              </w:rPr>
              <w:t xml:space="preserve"> summary of</w:t>
            </w:r>
            <w:r>
              <w:rPr>
                <w:rFonts w:asciiTheme="minorHAnsi" w:hAnsiTheme="minorHAnsi" w:cstheme="minorHAnsi"/>
                <w:sz w:val="22"/>
                <w:szCs w:val="22"/>
              </w:rPr>
              <w:t xml:space="preserve"> the results of</w:t>
            </w:r>
            <w:r w:rsidRPr="00891E6F">
              <w:rPr>
                <w:rFonts w:asciiTheme="minorHAnsi" w:hAnsiTheme="minorHAnsi" w:cstheme="minorHAnsi"/>
                <w:sz w:val="22"/>
                <w:szCs w:val="22"/>
              </w:rPr>
              <w:t xml:space="preserve"> all consultation activities</w:t>
            </w:r>
            <w:r>
              <w:rPr>
                <w:rFonts w:asciiTheme="minorHAnsi" w:hAnsiTheme="minorHAnsi" w:cstheme="minorHAnsi"/>
                <w:sz w:val="22"/>
                <w:szCs w:val="22"/>
              </w:rPr>
              <w:t xml:space="preserve"> </w:t>
            </w:r>
            <w:r w:rsidRPr="00891E6F">
              <w:rPr>
                <w:rFonts w:asciiTheme="minorHAnsi" w:hAnsiTheme="minorHAnsi" w:cstheme="minorHAnsi"/>
                <w:sz w:val="22"/>
                <w:szCs w:val="22"/>
              </w:rPr>
              <w:t>will be published</w:t>
            </w:r>
            <w:r w:rsidRPr="00891E6F">
              <w:rPr>
                <w:rFonts w:asciiTheme="minorHAnsi" w:hAnsiTheme="minorHAnsi" w:cstheme="minorHAnsi"/>
                <w:sz w:val="22"/>
                <w:szCs w:val="22"/>
              </w:rPr>
              <w:t xml:space="preserve"> on the consultation page.</w:t>
            </w:r>
          </w:p>
        </w:tc>
      </w:tr>
      <w:tr w:rsidTr="001E2AAA">
        <w:tblPrEx>
          <w:tblW w:w="10283" w:type="dxa"/>
          <w:jc w:val="center"/>
          <w:tblLook w:val="01E0"/>
        </w:tblPrEx>
        <w:trPr>
          <w:jc w:val="center"/>
        </w:trPr>
        <w:tc>
          <w:tcPr>
            <w:tcW w:w="10283" w:type="dxa"/>
            <w:shd w:val="clear" w:color="auto" w:fill="F2F2F2" w:themeFill="background1" w:themeFillShade="F2"/>
          </w:tcPr>
          <w:p w:rsidR="001E0806" w:rsidRPr="00F9272E" w:rsidP="00672788">
            <w:pPr>
              <w:spacing w:before="60" w:after="60"/>
              <w:rPr>
                <w:rFonts w:ascii="Arial" w:hAnsi="Arial" w:cs="Arial"/>
                <w:sz w:val="20"/>
                <w:lang w:eastAsia="en-GB"/>
              </w:rPr>
            </w:pPr>
            <w:r w:rsidRPr="00F9272E">
              <w:rPr>
                <w:rFonts w:ascii="Arial" w:hAnsi="Arial" w:cs="Arial"/>
                <w:b/>
                <w:sz w:val="20"/>
                <w:lang w:eastAsia="en-GB"/>
              </w:rPr>
              <w:t>Data collection</w:t>
            </w:r>
            <w:r w:rsidR="00852FFF">
              <w:rPr>
                <w:rFonts w:ascii="Arial" w:hAnsi="Arial" w:cs="Arial"/>
                <w:b/>
                <w:sz w:val="20"/>
                <w:lang w:eastAsia="en-GB"/>
              </w:rPr>
              <w:t xml:space="preserve"> and methodology</w:t>
            </w:r>
          </w:p>
        </w:tc>
      </w:tr>
      <w:tr w:rsidTr="001E2AAA">
        <w:tblPrEx>
          <w:tblW w:w="10283" w:type="dxa"/>
          <w:jc w:val="center"/>
          <w:tblLook w:val="01E0"/>
        </w:tblPrEx>
        <w:trPr>
          <w:jc w:val="center"/>
        </w:trPr>
        <w:tc>
          <w:tcPr>
            <w:tcW w:w="10283" w:type="dxa"/>
            <w:shd w:val="clear" w:color="auto" w:fill="auto"/>
          </w:tcPr>
          <w:p w:rsidR="006B4A4D" w:rsidP="002253B7">
            <w:pPr>
              <w:spacing w:before="100" w:beforeAutospacing="1" w:after="100" w:afterAutospacing="1"/>
              <w:rPr>
                <w:rFonts w:asciiTheme="minorHAnsi" w:hAnsiTheme="minorHAnsi" w:cstheme="minorHAnsi"/>
                <w:color w:val="000000" w:themeColor="text1"/>
                <w:sz w:val="22"/>
                <w:szCs w:val="22"/>
              </w:rPr>
            </w:pPr>
            <w:r w:rsidRPr="00891E6F">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evaluation </w:t>
            </w:r>
            <w:r w:rsidRPr="006B4A4D">
              <w:rPr>
                <w:rFonts w:asciiTheme="minorHAnsi" w:hAnsiTheme="minorHAnsi" w:cstheme="minorHAnsi"/>
                <w:color w:val="000000" w:themeColor="text1"/>
                <w:sz w:val="22"/>
                <w:szCs w:val="22"/>
              </w:rPr>
              <w:t>will be supported</w:t>
            </w:r>
            <w:r w:rsidRPr="006B4A4D">
              <w:rPr>
                <w:rFonts w:asciiTheme="minorHAnsi" w:hAnsiTheme="minorHAnsi" w:cstheme="minorHAnsi"/>
                <w:color w:val="000000" w:themeColor="text1"/>
                <w:sz w:val="22"/>
                <w:szCs w:val="22"/>
              </w:rPr>
              <w:t xml:space="preserve"> by an external study</w:t>
            </w:r>
            <w:r>
              <w:rPr>
                <w:rFonts w:asciiTheme="minorHAnsi" w:hAnsiTheme="minorHAnsi" w:cstheme="minorHAnsi"/>
                <w:color w:val="000000" w:themeColor="text1"/>
                <w:sz w:val="22"/>
                <w:szCs w:val="22"/>
              </w:rPr>
              <w:t>.</w:t>
            </w:r>
            <w:r w:rsidR="000642DE">
              <w:rPr>
                <w:rFonts w:asciiTheme="minorHAnsi" w:hAnsiTheme="minorHAnsi" w:cstheme="minorHAnsi"/>
                <w:color w:val="000000" w:themeColor="text1"/>
                <w:sz w:val="22"/>
                <w:szCs w:val="22"/>
              </w:rPr>
              <w:t xml:space="preserve"> </w:t>
            </w:r>
            <w:r w:rsidR="00A90388">
              <w:rPr>
                <w:rFonts w:asciiTheme="minorHAnsi" w:hAnsiTheme="minorHAnsi" w:cstheme="minorHAnsi"/>
                <w:color w:val="000000" w:themeColor="text1"/>
                <w:sz w:val="22"/>
                <w:szCs w:val="22"/>
              </w:rPr>
              <w:t>T</w:t>
            </w:r>
            <w:r w:rsidR="000642DE">
              <w:rPr>
                <w:rFonts w:asciiTheme="minorHAnsi" w:hAnsiTheme="minorHAnsi" w:cstheme="minorHAnsi"/>
                <w:color w:val="000000" w:themeColor="text1"/>
                <w:sz w:val="22"/>
                <w:szCs w:val="22"/>
              </w:rPr>
              <w:t>he</w:t>
            </w:r>
            <w:r w:rsidR="00A90388">
              <w:rPr>
                <w:rFonts w:asciiTheme="minorHAnsi" w:hAnsiTheme="minorHAnsi" w:cstheme="minorHAnsi"/>
                <w:color w:val="000000" w:themeColor="text1"/>
                <w:sz w:val="22"/>
                <w:szCs w:val="22"/>
              </w:rPr>
              <w:t xml:space="preserve"> dedicated</w:t>
            </w:r>
            <w:r w:rsidR="000642DE">
              <w:rPr>
                <w:rFonts w:asciiTheme="minorHAnsi" w:hAnsiTheme="minorHAnsi" w:cstheme="minorHAnsi"/>
                <w:color w:val="000000" w:themeColor="text1"/>
                <w:sz w:val="22"/>
                <w:szCs w:val="22"/>
              </w:rPr>
              <w:t xml:space="preserve"> external study </w:t>
            </w:r>
            <w:r w:rsidR="00A90388">
              <w:rPr>
                <w:rFonts w:asciiTheme="minorHAnsi" w:hAnsiTheme="minorHAnsi" w:cstheme="minorHAnsi"/>
                <w:color w:val="000000" w:themeColor="text1"/>
                <w:sz w:val="22"/>
                <w:szCs w:val="22"/>
              </w:rPr>
              <w:t>supporting</w:t>
            </w:r>
            <w:r w:rsidR="000642DE">
              <w:rPr>
                <w:rFonts w:asciiTheme="minorHAnsi" w:hAnsiTheme="minorHAnsi" w:cstheme="minorHAnsi"/>
                <w:color w:val="000000" w:themeColor="text1"/>
                <w:sz w:val="22"/>
                <w:szCs w:val="22"/>
              </w:rPr>
              <w:t xml:space="preserve"> the Commission evaluation </w:t>
            </w:r>
            <w:r w:rsidRPr="006B4A4D">
              <w:rPr>
                <w:rFonts w:asciiTheme="minorHAnsi" w:hAnsiTheme="minorHAnsi" w:cstheme="minorHAnsi"/>
                <w:color w:val="000000" w:themeColor="text1"/>
                <w:sz w:val="22"/>
                <w:szCs w:val="22"/>
              </w:rPr>
              <w:t>will</w:t>
            </w:r>
            <w:r w:rsidR="001A689C">
              <w:rPr>
                <w:rFonts w:asciiTheme="minorHAnsi" w:hAnsiTheme="minorHAnsi" w:cstheme="minorHAnsi"/>
                <w:color w:val="000000" w:themeColor="text1"/>
                <w:sz w:val="22"/>
                <w:szCs w:val="22"/>
              </w:rPr>
              <w:t xml:space="preserve"> take into account </w:t>
            </w:r>
            <w:r w:rsidR="00D53739">
              <w:rPr>
                <w:rFonts w:asciiTheme="minorHAnsi" w:hAnsiTheme="minorHAnsi" w:cstheme="minorHAnsi"/>
                <w:color w:val="000000" w:themeColor="text1"/>
                <w:sz w:val="22"/>
                <w:szCs w:val="22"/>
              </w:rPr>
              <w:t xml:space="preserve">and build </w:t>
            </w:r>
            <w:r w:rsidRPr="006B4A4D">
              <w:rPr>
                <w:rFonts w:asciiTheme="minorHAnsi" w:hAnsiTheme="minorHAnsi" w:cstheme="minorHAnsi"/>
                <w:color w:val="000000" w:themeColor="text1"/>
                <w:sz w:val="22"/>
                <w:szCs w:val="22"/>
              </w:rPr>
              <w:t xml:space="preserve">on the following </w:t>
            </w:r>
            <w:r w:rsidR="00A90388">
              <w:rPr>
                <w:rFonts w:asciiTheme="minorHAnsi" w:hAnsiTheme="minorHAnsi" w:cstheme="minorHAnsi"/>
                <w:color w:val="000000" w:themeColor="text1"/>
                <w:sz w:val="22"/>
                <w:szCs w:val="22"/>
              </w:rPr>
              <w:t xml:space="preserve">available </w:t>
            </w:r>
            <w:r w:rsidRPr="006B4A4D">
              <w:rPr>
                <w:rFonts w:asciiTheme="minorHAnsi" w:hAnsiTheme="minorHAnsi" w:cstheme="minorHAnsi"/>
                <w:color w:val="000000" w:themeColor="text1"/>
                <w:sz w:val="22"/>
                <w:szCs w:val="22"/>
              </w:rPr>
              <w:t>sources of information</w:t>
            </w:r>
            <w:r>
              <w:rPr>
                <w:rFonts w:asciiTheme="minorHAnsi" w:hAnsiTheme="minorHAnsi" w:cstheme="minorHAnsi"/>
                <w:color w:val="000000" w:themeColor="text1"/>
                <w:sz w:val="22"/>
                <w:szCs w:val="22"/>
              </w:rPr>
              <w:t>:</w:t>
            </w:r>
            <w:r w:rsidRPr="006B4A4D">
              <w:rPr>
                <w:rFonts w:asciiTheme="minorHAnsi" w:hAnsiTheme="minorHAnsi" w:cstheme="minorHAnsi"/>
                <w:color w:val="000000" w:themeColor="text1"/>
                <w:sz w:val="22"/>
                <w:szCs w:val="22"/>
              </w:rPr>
              <w:t xml:space="preserve"> </w:t>
            </w:r>
          </w:p>
          <w:p w:rsidR="0033071A" w:rsidRPr="00891E6F" w:rsidP="002253B7">
            <w:pPr>
              <w:spacing w:before="100" w:beforeAutospacing="1" w:after="100" w:afterAutospacing="1"/>
              <w:rPr>
                <w:rFonts w:asciiTheme="minorHAnsi" w:hAnsiTheme="minorHAnsi" w:cstheme="minorHAnsi"/>
                <w:i/>
                <w:color w:val="1036A0"/>
                <w:sz w:val="22"/>
                <w:szCs w:val="22"/>
                <w:lang w:eastAsia="en-GB"/>
              </w:rPr>
            </w:pPr>
            <w:r>
              <w:rPr>
                <w:rFonts w:asciiTheme="minorHAnsi" w:hAnsiTheme="minorHAnsi" w:cstheme="minorHAnsi"/>
                <w:color w:val="000000" w:themeColor="text1"/>
                <w:sz w:val="22"/>
                <w:szCs w:val="22"/>
              </w:rPr>
              <w:t>S</w:t>
            </w:r>
            <w:r w:rsidRPr="00891E6F">
              <w:rPr>
                <w:rFonts w:asciiTheme="minorHAnsi" w:hAnsiTheme="minorHAnsi" w:cstheme="minorHAnsi"/>
                <w:color w:val="000000" w:themeColor="text1"/>
                <w:sz w:val="22"/>
                <w:szCs w:val="22"/>
              </w:rPr>
              <w:t xml:space="preserve">tudies </w:t>
            </w:r>
            <w:r w:rsidRPr="00891E6F" w:rsidR="002253B7">
              <w:rPr>
                <w:rFonts w:asciiTheme="minorHAnsi" w:hAnsiTheme="minorHAnsi" w:cstheme="minorHAnsi"/>
                <w:color w:val="000000" w:themeColor="text1"/>
                <w:sz w:val="22"/>
                <w:szCs w:val="22"/>
              </w:rPr>
              <w:t>on sewage sludge carried out on behalf of the Commission and by JRC</w:t>
            </w:r>
            <w:r w:rsidR="00883A4D">
              <w:rPr>
                <w:rFonts w:asciiTheme="minorHAnsi" w:hAnsiTheme="minorHAnsi" w:cstheme="minorHAnsi"/>
                <w:color w:val="000000" w:themeColor="text1"/>
                <w:sz w:val="22"/>
                <w:szCs w:val="22"/>
              </w:rPr>
              <w:t>,</w:t>
            </w:r>
            <w:r w:rsidRPr="00891E6F" w:rsidR="002253B7">
              <w:rPr>
                <w:rFonts w:asciiTheme="minorHAnsi" w:hAnsiTheme="minorHAnsi" w:cstheme="minorHAnsi"/>
                <w:color w:val="000000" w:themeColor="text1"/>
                <w:sz w:val="22"/>
                <w:szCs w:val="22"/>
              </w:rPr>
              <w:t xml:space="preserve"> </w:t>
            </w:r>
            <w:r w:rsidRPr="00891E6F">
              <w:rPr>
                <w:rFonts w:asciiTheme="minorHAnsi" w:hAnsiTheme="minorHAnsi" w:cstheme="minorHAnsi"/>
                <w:color w:val="000000" w:themeColor="text1"/>
                <w:sz w:val="22"/>
                <w:szCs w:val="22"/>
              </w:rPr>
              <w:t>including</w:t>
            </w:r>
            <w:r w:rsidRPr="00891E6F" w:rsidR="002253B7">
              <w:rPr>
                <w:rFonts w:asciiTheme="minorHAnsi" w:hAnsiTheme="minorHAnsi" w:cstheme="minorHAnsi"/>
                <w:color w:val="000000" w:themeColor="text1"/>
                <w:sz w:val="22"/>
                <w:szCs w:val="22"/>
              </w:rPr>
              <w:t xml:space="preserve"> the following</w:t>
            </w:r>
            <w:r w:rsidRPr="00891E6F">
              <w:rPr>
                <w:rFonts w:asciiTheme="minorHAnsi" w:hAnsiTheme="minorHAnsi" w:cstheme="minorHAnsi"/>
                <w:color w:val="000000" w:themeColor="text1"/>
                <w:sz w:val="22"/>
                <w:szCs w:val="22"/>
              </w:rPr>
              <w:t>:</w:t>
            </w:r>
          </w:p>
          <w:p w:rsidR="0033071A" w:rsidRPr="00891E6F" w:rsidP="002253B7">
            <w:pPr>
              <w:pStyle w:val="ListParagraph"/>
              <w:numPr>
                <w:ilvl w:val="0"/>
                <w:numId w:val="37"/>
              </w:numPr>
              <w:spacing w:line="276" w:lineRule="auto"/>
              <w:rPr>
                <w:rFonts w:asciiTheme="minorHAnsi" w:hAnsiTheme="minorHAnsi" w:cstheme="minorHAnsi"/>
                <w:color w:val="000000" w:themeColor="text1"/>
                <w:sz w:val="22"/>
                <w:szCs w:val="22"/>
                <w:lang w:val="en-IE"/>
              </w:rPr>
            </w:pPr>
            <w:r>
              <w:fldChar w:fldCharType="begin"/>
            </w:r>
            <w:r>
              <w:instrText xml:space="preserve"> HYPERLINK "https://publications.jrc.ec.europa.eu/repository/bitstream/JRC87124/eow%20biodegradable%20waste%20final%20report.pdf" </w:instrText>
            </w:r>
            <w:r>
              <w:fldChar w:fldCharType="separate"/>
            </w:r>
            <w:r w:rsidRPr="00982B06">
              <w:rPr>
                <w:rStyle w:val="Hyperlink"/>
                <w:rFonts w:asciiTheme="minorHAnsi" w:hAnsiTheme="minorHAnsi" w:cstheme="minorHAnsi"/>
                <w:sz w:val="22"/>
                <w:szCs w:val="22"/>
                <w:lang w:val="en-IE"/>
              </w:rPr>
              <w:t xml:space="preserve">End-of-waste criteria for biodegradable waste subjected to biological treatment (compost &amp; </w:t>
            </w:r>
            <w:r w:rsidRPr="00982B06">
              <w:rPr>
                <w:rStyle w:val="Hyperlink"/>
                <w:rFonts w:asciiTheme="minorHAnsi" w:hAnsiTheme="minorHAnsi" w:cstheme="minorHAnsi"/>
                <w:sz w:val="22"/>
                <w:szCs w:val="22"/>
                <w:lang w:val="en-IE"/>
              </w:rPr>
              <w:t>digestate</w:t>
            </w:r>
            <w:r w:rsidRPr="00982B06">
              <w:rPr>
                <w:rStyle w:val="Hyperlink"/>
                <w:rFonts w:asciiTheme="minorHAnsi" w:hAnsiTheme="minorHAnsi" w:cstheme="minorHAnsi"/>
                <w:sz w:val="22"/>
                <w:szCs w:val="22"/>
                <w:lang w:val="en-IE"/>
              </w:rPr>
              <w:t>): Technical proposals</w:t>
            </w:r>
            <w:r>
              <w:fldChar w:fldCharType="end"/>
            </w:r>
            <w:r w:rsidRPr="00891E6F">
              <w:rPr>
                <w:rFonts w:asciiTheme="minorHAnsi" w:hAnsiTheme="minorHAnsi" w:cstheme="minorHAnsi"/>
                <w:color w:val="000000" w:themeColor="text1"/>
                <w:sz w:val="22"/>
                <w:szCs w:val="22"/>
                <w:lang w:val="en-IE"/>
              </w:rPr>
              <w:t xml:space="preserve"> - JRC 201</w:t>
            </w:r>
            <w:r w:rsidR="00D96028">
              <w:rPr>
                <w:rFonts w:asciiTheme="minorHAnsi" w:hAnsiTheme="minorHAnsi" w:cstheme="minorHAnsi"/>
                <w:color w:val="000000" w:themeColor="text1"/>
                <w:sz w:val="22"/>
                <w:szCs w:val="22"/>
                <w:lang w:val="en-IE"/>
              </w:rPr>
              <w:t>4</w:t>
            </w:r>
            <w:r w:rsidRPr="00891E6F">
              <w:rPr>
                <w:rFonts w:asciiTheme="minorHAnsi" w:hAnsiTheme="minorHAnsi" w:cstheme="minorHAnsi"/>
                <w:color w:val="000000" w:themeColor="text1"/>
                <w:sz w:val="22"/>
                <w:szCs w:val="22"/>
                <w:lang w:val="en-IE"/>
              </w:rPr>
              <w:t xml:space="preserve">; </w:t>
            </w:r>
          </w:p>
          <w:p w:rsidR="0033071A" w:rsidRPr="00891E6F" w:rsidP="002253B7">
            <w:pPr>
              <w:pStyle w:val="ListParagraph"/>
              <w:numPr>
                <w:ilvl w:val="0"/>
                <w:numId w:val="37"/>
              </w:numPr>
              <w:spacing w:line="276" w:lineRule="auto"/>
              <w:rPr>
                <w:rFonts w:asciiTheme="minorHAnsi" w:hAnsiTheme="minorHAnsi" w:cstheme="minorHAnsi"/>
                <w:color w:val="000000" w:themeColor="text1"/>
                <w:sz w:val="22"/>
                <w:szCs w:val="22"/>
                <w:lang w:val="en-IE"/>
              </w:rPr>
            </w:pPr>
            <w:r>
              <w:fldChar w:fldCharType="begin"/>
            </w:r>
            <w:r>
              <w:instrText xml:space="preserve"> HYPERLINK "http://publications.jrc.ec.europa.eu/repository/bitstream/JRC117856/jrc117856_jrc117856_electronic.pdf" </w:instrText>
            </w:r>
            <w:r>
              <w:fldChar w:fldCharType="separate"/>
            </w:r>
            <w:r w:rsidRPr="00982B06">
              <w:rPr>
                <w:rStyle w:val="Hyperlink"/>
                <w:rFonts w:asciiTheme="minorHAnsi" w:hAnsiTheme="minorHAnsi" w:cstheme="minorHAnsi"/>
                <w:sz w:val="22"/>
                <w:szCs w:val="22"/>
                <w:lang w:val="en-IE"/>
              </w:rPr>
              <w:t>Technical proposals for selected new fertilising materials under the Fertilising Products Regulation (Regulation (EU) 2019/1009</w:t>
            </w:r>
            <w:r>
              <w:fldChar w:fldCharType="end"/>
            </w:r>
            <w:r w:rsidR="00982B06">
              <w:rPr>
                <w:rFonts w:asciiTheme="minorHAnsi" w:hAnsiTheme="minorHAnsi" w:cstheme="minorHAnsi"/>
                <w:color w:val="000000" w:themeColor="text1"/>
                <w:sz w:val="22"/>
                <w:szCs w:val="22"/>
                <w:lang w:val="en-IE"/>
              </w:rPr>
              <w:t>) -</w:t>
            </w:r>
            <w:r w:rsidRPr="00891E6F">
              <w:rPr>
                <w:rFonts w:asciiTheme="minorHAnsi" w:hAnsiTheme="minorHAnsi" w:cstheme="minorHAnsi"/>
                <w:color w:val="000000" w:themeColor="text1"/>
                <w:sz w:val="22"/>
                <w:szCs w:val="22"/>
                <w:lang w:val="en-IE"/>
              </w:rPr>
              <w:t xml:space="preserve">JRC 2019; </w:t>
            </w:r>
          </w:p>
          <w:p w:rsidR="00CA2A68" w:rsidRPr="001A689C" w:rsidP="00AF2CA9">
            <w:pPr>
              <w:pStyle w:val="ListParagraph"/>
              <w:numPr>
                <w:ilvl w:val="0"/>
                <w:numId w:val="37"/>
              </w:numPr>
              <w:spacing w:line="276" w:lineRule="auto"/>
              <w:rPr>
                <w:rFonts w:asciiTheme="minorHAnsi" w:hAnsiTheme="minorHAnsi" w:cstheme="minorHAnsi"/>
                <w:sz w:val="22"/>
                <w:szCs w:val="22"/>
                <w:lang w:val="en-IE"/>
              </w:rPr>
            </w:pPr>
            <w:r>
              <w:fldChar w:fldCharType="begin"/>
            </w:r>
            <w:r>
              <w:instrText xml:space="preserve"> HYPERLINK "https://ec.europa.eu/environment/chemicals/reach/pdf/40039%20Digestate%20and%20Compost%20RMOA%20-%20Final%20report%20i2_20190208.pdf" </w:instrText>
            </w:r>
            <w:r>
              <w:fldChar w:fldCharType="separate"/>
            </w:r>
            <w:r w:rsidRPr="00982B06" w:rsidR="0033071A">
              <w:rPr>
                <w:rStyle w:val="Hyperlink"/>
                <w:rFonts w:asciiTheme="minorHAnsi" w:hAnsiTheme="minorHAnsi" w:cstheme="minorHAnsi"/>
                <w:sz w:val="22"/>
                <w:szCs w:val="22"/>
                <w:lang w:val="en-IE"/>
              </w:rPr>
              <w:t>Digestate</w:t>
            </w:r>
            <w:r w:rsidRPr="00982B06" w:rsidR="0033071A">
              <w:rPr>
                <w:rStyle w:val="Hyperlink"/>
                <w:rFonts w:asciiTheme="minorHAnsi" w:hAnsiTheme="minorHAnsi" w:cstheme="minorHAnsi"/>
                <w:sz w:val="22"/>
                <w:szCs w:val="22"/>
                <w:lang w:val="en-IE"/>
              </w:rPr>
              <w:t xml:space="preserve"> and compost as fertiliser: risk assessment and risk management options</w:t>
            </w:r>
            <w:r>
              <w:fldChar w:fldCharType="end"/>
            </w:r>
            <w:r w:rsidRPr="00891E6F" w:rsidR="0033071A">
              <w:rPr>
                <w:rFonts w:asciiTheme="minorHAnsi" w:hAnsiTheme="minorHAnsi" w:cstheme="minorHAnsi"/>
                <w:color w:val="000000" w:themeColor="text1"/>
                <w:sz w:val="22"/>
                <w:szCs w:val="22"/>
                <w:lang w:val="en-IE"/>
              </w:rPr>
              <w:t xml:space="preserve"> - </w:t>
            </w:r>
            <w:r w:rsidRPr="00891E6F" w:rsidR="0033071A">
              <w:rPr>
                <w:rFonts w:asciiTheme="minorHAnsi" w:hAnsiTheme="minorHAnsi" w:cstheme="minorHAnsi"/>
                <w:color w:val="000000" w:themeColor="text1"/>
                <w:sz w:val="22"/>
                <w:szCs w:val="22"/>
                <w:lang w:val="en-IE"/>
              </w:rPr>
              <w:t>Ramboll</w:t>
            </w:r>
            <w:r w:rsidRPr="00891E6F" w:rsidR="0033071A">
              <w:rPr>
                <w:rFonts w:asciiTheme="minorHAnsi" w:hAnsiTheme="minorHAnsi" w:cstheme="minorHAnsi"/>
                <w:color w:val="000000" w:themeColor="text1"/>
                <w:sz w:val="22"/>
                <w:szCs w:val="22"/>
                <w:lang w:val="en-IE"/>
              </w:rPr>
              <w:t xml:space="preserve"> et al 2019; </w:t>
            </w:r>
          </w:p>
          <w:p w:rsidR="009C29D0" w:rsidRPr="00B22861" w:rsidP="009C29D0">
            <w:pPr>
              <w:pStyle w:val="ListParagraph"/>
              <w:numPr>
                <w:ilvl w:val="0"/>
                <w:numId w:val="37"/>
              </w:numPr>
              <w:spacing w:line="276" w:lineRule="auto"/>
              <w:rPr>
                <w:rFonts w:asciiTheme="minorHAnsi" w:hAnsiTheme="minorHAnsi" w:cstheme="minorHAnsi"/>
                <w:color w:val="000000" w:themeColor="text1"/>
                <w:sz w:val="22"/>
                <w:szCs w:val="22"/>
                <w:lang w:val="en-IE"/>
              </w:rPr>
            </w:pPr>
            <w:r>
              <w:fldChar w:fldCharType="begin"/>
            </w:r>
            <w:r>
              <w:instrText xml:space="preserve"> HYPERLINK "https://cordis.europa.eu/projects/en" </w:instrText>
            </w:r>
            <w:r>
              <w:fldChar w:fldCharType="separate"/>
            </w:r>
            <w:r w:rsidRPr="00B22861">
              <w:rPr>
                <w:rStyle w:val="Hyperlink"/>
                <w:rFonts w:asciiTheme="minorHAnsi" w:hAnsiTheme="minorHAnsi" w:cstheme="minorHAnsi"/>
                <w:sz w:val="22"/>
                <w:szCs w:val="22"/>
                <w:lang w:val="en-IE"/>
              </w:rPr>
              <w:t xml:space="preserve">Relevant R&amp;I projects funded by EU </w:t>
            </w:r>
            <w:r>
              <w:rPr>
                <w:rStyle w:val="Hyperlink"/>
                <w:rFonts w:asciiTheme="minorHAnsi" w:hAnsiTheme="minorHAnsi" w:cstheme="minorHAnsi"/>
                <w:sz w:val="22"/>
                <w:szCs w:val="22"/>
                <w:lang w:val="en-IE"/>
              </w:rPr>
              <w:t xml:space="preserve">research programmes FP7, </w:t>
            </w:r>
            <w:r w:rsidRPr="00B22861">
              <w:rPr>
                <w:rStyle w:val="Hyperlink"/>
                <w:rFonts w:asciiTheme="minorHAnsi" w:hAnsiTheme="minorHAnsi" w:cstheme="minorHAnsi"/>
                <w:sz w:val="22"/>
                <w:szCs w:val="22"/>
                <w:lang w:val="en-IE"/>
              </w:rPr>
              <w:t>Horizon 2020</w:t>
            </w:r>
            <w:r>
              <w:fldChar w:fldCharType="end"/>
            </w:r>
            <w:r>
              <w:rPr>
                <w:rFonts w:asciiTheme="minorHAnsi" w:hAnsiTheme="minorHAnsi" w:cstheme="minorHAnsi"/>
                <w:color w:val="000000" w:themeColor="text1"/>
                <w:sz w:val="22"/>
                <w:szCs w:val="22"/>
                <w:lang w:val="en-IE"/>
              </w:rPr>
              <w:t xml:space="preserve"> and</w:t>
            </w:r>
            <w:r w:rsidR="00AF2CA9">
              <w:rPr>
                <w:rFonts w:asciiTheme="minorHAnsi" w:hAnsiTheme="minorHAnsi" w:cstheme="minorHAnsi"/>
                <w:color w:val="000000" w:themeColor="text1"/>
                <w:sz w:val="22"/>
                <w:szCs w:val="22"/>
                <w:lang w:val="en-IE"/>
              </w:rPr>
              <w:t xml:space="preserve"> the</w:t>
            </w:r>
            <w:r>
              <w:rPr>
                <w:rFonts w:asciiTheme="minorHAnsi" w:hAnsiTheme="minorHAnsi" w:cstheme="minorHAnsi"/>
                <w:color w:val="000000" w:themeColor="text1"/>
                <w:sz w:val="22"/>
                <w:szCs w:val="22"/>
                <w:lang w:val="en-IE"/>
              </w:rPr>
              <w:t xml:space="preserve"> </w:t>
            </w:r>
            <w:r>
              <w:fldChar w:fldCharType="begin"/>
            </w:r>
            <w:r>
              <w:instrText xml:space="preserve"> HYPERLINK "https://ec.europa.eu/easme/en/life" </w:instrText>
            </w:r>
            <w:r>
              <w:fldChar w:fldCharType="separate"/>
            </w:r>
            <w:r w:rsidRPr="00E4780E">
              <w:rPr>
                <w:rStyle w:val="Hyperlink"/>
                <w:rFonts w:asciiTheme="minorHAnsi" w:hAnsiTheme="minorHAnsi" w:cstheme="minorHAnsi"/>
                <w:sz w:val="22"/>
                <w:szCs w:val="22"/>
                <w:lang w:val="en-IE"/>
              </w:rPr>
              <w:t>LIFE programme</w:t>
            </w:r>
            <w:r>
              <w:fldChar w:fldCharType="end"/>
            </w:r>
          </w:p>
          <w:p w:rsidR="00E4780E" w:rsidP="00E4780E">
            <w:pPr>
              <w:pStyle w:val="ListParagraph"/>
              <w:numPr>
                <w:ilvl w:val="0"/>
                <w:numId w:val="37"/>
              </w:numPr>
              <w:spacing w:line="276" w:lineRule="auto"/>
              <w:rPr>
                <w:rFonts w:asciiTheme="minorHAnsi" w:hAnsiTheme="minorHAnsi" w:cstheme="minorHAnsi"/>
                <w:color w:val="000000" w:themeColor="text1"/>
                <w:sz w:val="22"/>
                <w:szCs w:val="22"/>
              </w:rPr>
            </w:pPr>
            <w:r w:rsidRPr="00891E6F">
              <w:rPr>
                <w:rFonts w:asciiTheme="minorHAnsi" w:hAnsiTheme="minorHAnsi" w:cstheme="minorHAnsi"/>
                <w:color w:val="000000" w:themeColor="text1"/>
                <w:sz w:val="22"/>
                <w:szCs w:val="22"/>
              </w:rPr>
              <w:t>Safemanure</w:t>
            </w:r>
            <w:r w:rsidRPr="00891E6F">
              <w:rPr>
                <w:rFonts w:asciiTheme="minorHAnsi" w:hAnsiTheme="minorHAnsi" w:cstheme="minorHAnsi"/>
                <w:color w:val="000000" w:themeColor="text1"/>
                <w:sz w:val="22"/>
                <w:szCs w:val="22"/>
              </w:rPr>
              <w:t xml:space="preserve"> - JRC (</w:t>
            </w:r>
            <w:r w:rsidRPr="00891E6F">
              <w:rPr>
                <w:rFonts w:asciiTheme="minorHAnsi" w:hAnsiTheme="minorHAnsi" w:cstheme="minorHAnsi"/>
                <w:color w:val="000000" w:themeColor="text1"/>
                <w:sz w:val="22"/>
                <w:szCs w:val="22"/>
              </w:rPr>
              <w:t>ongoing</w:t>
            </w:r>
            <w:r w:rsidRPr="00891E6F">
              <w:rPr>
                <w:rFonts w:asciiTheme="minorHAnsi" w:hAnsiTheme="minorHAnsi" w:cstheme="minorHAnsi"/>
                <w:color w:val="000000" w:themeColor="text1"/>
                <w:sz w:val="22"/>
                <w:szCs w:val="22"/>
              </w:rPr>
              <w:t xml:space="preserve">); </w:t>
            </w:r>
          </w:p>
          <w:p w:rsidR="006B4A4D" w:rsidP="006B4A4D">
            <w:pPr>
              <w:spacing w:before="100" w:beforeAutospacing="1" w:after="100" w:afterAutospacing="1"/>
              <w:rPr>
                <w:rFonts w:asciiTheme="minorHAnsi" w:hAnsiTheme="minorHAnsi" w:cstheme="minorHAnsi"/>
                <w:color w:val="000000" w:themeColor="text1"/>
                <w:sz w:val="22"/>
                <w:szCs w:val="22"/>
                <w:lang w:val="en-IE"/>
              </w:rPr>
            </w:pPr>
            <w:r w:rsidRPr="006B4A4D">
              <w:rPr>
                <w:rFonts w:asciiTheme="minorHAnsi" w:hAnsiTheme="minorHAnsi" w:cstheme="minorHAnsi"/>
                <w:color w:val="000000" w:themeColor="text1"/>
                <w:sz w:val="22"/>
                <w:szCs w:val="22"/>
              </w:rPr>
              <w:t>Reports</w:t>
            </w:r>
          </w:p>
          <w:p w:rsidR="00540A37" w:rsidP="006B4A4D">
            <w:pPr>
              <w:spacing w:before="100" w:beforeAutospacing="1" w:after="100" w:afterAutospacing="1"/>
              <w:rPr>
                <w:rFonts w:asciiTheme="minorHAnsi" w:hAnsiTheme="minorHAnsi" w:cstheme="minorHAnsi"/>
                <w:color w:val="000000" w:themeColor="text1"/>
                <w:sz w:val="22"/>
                <w:szCs w:val="22"/>
                <w:lang w:val="en-IE"/>
              </w:rPr>
            </w:pPr>
            <w:r w:rsidRPr="008F2654">
              <w:rPr>
                <w:rFonts w:asciiTheme="minorHAnsi" w:hAnsiTheme="minorHAnsi" w:cstheme="minorHAnsi"/>
                <w:color w:val="000000" w:themeColor="text1"/>
                <w:sz w:val="22"/>
                <w:szCs w:val="22"/>
                <w:lang w:val="en-IE"/>
              </w:rPr>
              <w:t xml:space="preserve">An </w:t>
            </w:r>
            <w:r w:rsidRPr="006B4A4D">
              <w:rPr>
                <w:rFonts w:asciiTheme="minorHAnsi" w:hAnsiTheme="minorHAnsi" w:cstheme="minorHAnsi"/>
                <w:color w:val="000000" w:themeColor="text1"/>
                <w:sz w:val="22"/>
                <w:szCs w:val="22"/>
              </w:rPr>
              <w:t>amount</w:t>
            </w:r>
            <w:r w:rsidRPr="008F2654">
              <w:rPr>
                <w:rFonts w:asciiTheme="minorHAnsi" w:hAnsiTheme="minorHAnsi" w:cstheme="minorHAnsi"/>
                <w:color w:val="000000" w:themeColor="text1"/>
                <w:sz w:val="22"/>
                <w:szCs w:val="22"/>
                <w:lang w:val="en-IE"/>
              </w:rPr>
              <w:t xml:space="preserve"> of information regarding the implementation of the SSD is available also in the 3-year</w:t>
            </w:r>
            <w:r w:rsidRPr="008F2654" w:rsidR="0082449D">
              <w:rPr>
                <w:rFonts w:asciiTheme="minorHAnsi" w:hAnsiTheme="minorHAnsi" w:cstheme="minorHAnsi"/>
                <w:color w:val="000000" w:themeColor="text1"/>
                <w:sz w:val="22"/>
                <w:szCs w:val="22"/>
                <w:lang w:val="en-IE"/>
              </w:rPr>
              <w:t xml:space="preserve"> period</w:t>
            </w:r>
            <w:r w:rsidRPr="008F2654">
              <w:rPr>
                <w:rFonts w:asciiTheme="minorHAnsi" w:hAnsiTheme="minorHAnsi" w:cstheme="minorHAnsi"/>
                <w:color w:val="000000" w:themeColor="text1"/>
                <w:sz w:val="22"/>
                <w:szCs w:val="22"/>
                <w:lang w:val="en-IE"/>
              </w:rPr>
              <w:t xml:space="preserve"> reports </w:t>
            </w:r>
            <w:r>
              <w:fldChar w:fldCharType="begin"/>
            </w:r>
            <w:r>
              <w:instrText xml:space="preserve"> HYPERLINK "https://ec.europa.eu/environment/waste/reporting/index.htm" </w:instrText>
            </w:r>
            <w:r>
              <w:fldChar w:fldCharType="separate"/>
            </w:r>
            <w:r w:rsidRPr="00540A37">
              <w:rPr>
                <w:rStyle w:val="Hyperlink"/>
                <w:rFonts w:asciiTheme="minorHAnsi" w:hAnsiTheme="minorHAnsi" w:cstheme="minorHAnsi"/>
                <w:sz w:val="22"/>
                <w:szCs w:val="22"/>
                <w:lang w:val="en-IE"/>
              </w:rPr>
              <w:t>s</w:t>
            </w:r>
            <w:r w:rsidRPr="00540A37" w:rsidR="0082449D">
              <w:rPr>
                <w:rStyle w:val="Hyperlink"/>
                <w:rFonts w:asciiTheme="minorHAnsi" w:hAnsiTheme="minorHAnsi" w:cstheme="minorHAnsi"/>
                <w:sz w:val="22"/>
                <w:szCs w:val="22"/>
                <w:lang w:val="en-IE"/>
              </w:rPr>
              <w:t>ubmitted to the Commission by Member States</w:t>
            </w:r>
            <w:r>
              <w:fldChar w:fldCharType="end"/>
            </w:r>
            <w:r w:rsidRPr="00540A37">
              <w:rPr>
                <w:rStyle w:val="Hyperlink"/>
                <w:rFonts w:asciiTheme="minorHAnsi" w:hAnsiTheme="minorHAnsi" w:cstheme="minorHAnsi"/>
                <w:sz w:val="22"/>
                <w:szCs w:val="22"/>
                <w:lang w:val="en-IE"/>
              </w:rPr>
              <w:t xml:space="preserve"> </w:t>
            </w:r>
            <w:r w:rsidRPr="008F2654">
              <w:rPr>
                <w:rFonts w:asciiTheme="minorHAnsi" w:hAnsiTheme="minorHAnsi" w:cstheme="minorHAnsi"/>
                <w:sz w:val="22"/>
                <w:szCs w:val="22"/>
                <w:lang w:val="en-IE"/>
              </w:rPr>
              <w:t xml:space="preserve">as well as in the reports on the </w:t>
            </w:r>
            <w:r>
              <w:fldChar w:fldCharType="begin"/>
            </w:r>
            <w:r>
              <w:instrText xml:space="preserve"> HYPERLINK "https://ec.europa.eu/environment/water/water-urbanwaste/implementation/implementationreports_en.htm" </w:instrText>
            </w:r>
            <w:r>
              <w:fldChar w:fldCharType="separate"/>
            </w:r>
            <w:r w:rsidRPr="008F2654">
              <w:rPr>
                <w:rStyle w:val="Hyperlink"/>
                <w:rFonts w:asciiTheme="minorHAnsi" w:hAnsiTheme="minorHAnsi" w:cstheme="minorHAnsi"/>
                <w:sz w:val="22"/>
                <w:szCs w:val="22"/>
                <w:lang w:val="en-IE"/>
              </w:rPr>
              <w:t>implementation of the UWWTD</w:t>
            </w:r>
            <w:r>
              <w:fldChar w:fldCharType="end"/>
            </w:r>
            <w:r w:rsidRPr="008F2654">
              <w:rPr>
                <w:rFonts w:asciiTheme="minorHAnsi" w:hAnsiTheme="minorHAnsi" w:cstheme="minorHAnsi"/>
                <w:sz w:val="22"/>
                <w:szCs w:val="22"/>
                <w:lang w:val="en-IE"/>
              </w:rPr>
              <w:t xml:space="preserve">. </w:t>
            </w:r>
          </w:p>
          <w:p w:rsidR="00CA2A68" w:rsidP="006B4A4D">
            <w:pPr>
              <w:spacing w:before="100" w:beforeAutospacing="1" w:after="100" w:afterAutospacing="1"/>
              <w:rPr>
                <w:rFonts w:asciiTheme="minorHAnsi" w:hAnsiTheme="minorHAnsi" w:cstheme="minorHAnsi"/>
                <w:color w:val="000000" w:themeColor="text1"/>
                <w:sz w:val="22"/>
                <w:szCs w:val="22"/>
                <w:lang w:val="en-IE"/>
              </w:rPr>
            </w:pPr>
            <w:r>
              <w:rPr>
                <w:rFonts w:asciiTheme="minorHAnsi" w:hAnsiTheme="minorHAnsi" w:cstheme="minorHAnsi"/>
                <w:color w:val="000000" w:themeColor="text1"/>
                <w:sz w:val="22"/>
                <w:szCs w:val="22"/>
                <w:lang w:val="en-IE"/>
              </w:rPr>
              <w:t>Evaluations</w:t>
            </w:r>
          </w:p>
          <w:p w:rsidR="00CA2A68" w:rsidRPr="00891E6F" w:rsidP="00CA2A68">
            <w:pPr>
              <w:pStyle w:val="ListParagraph"/>
              <w:numPr>
                <w:ilvl w:val="0"/>
                <w:numId w:val="42"/>
              </w:numPr>
              <w:spacing w:line="276" w:lineRule="auto"/>
              <w:ind w:left="360"/>
              <w:rPr>
                <w:rFonts w:asciiTheme="minorHAnsi" w:hAnsiTheme="minorHAnsi" w:cstheme="minorHAnsi"/>
                <w:color w:val="000000" w:themeColor="text1"/>
                <w:sz w:val="22"/>
                <w:szCs w:val="22"/>
              </w:rPr>
            </w:pPr>
            <w:r>
              <w:fldChar w:fldCharType="begin"/>
            </w:r>
            <w:r>
              <w:instrText xml:space="preserve"> HYPERLINK "https://ec.europa.eu/environment/waste/pdf/target_review/Final%20Report%20Ex-Post.pdf" </w:instrText>
            </w:r>
            <w:r>
              <w:fldChar w:fldCharType="separate"/>
            </w:r>
            <w:r w:rsidR="00883A4D">
              <w:rPr>
                <w:rStyle w:val="Hyperlink"/>
                <w:rFonts w:asciiTheme="minorHAnsi" w:hAnsiTheme="minorHAnsi" w:cstheme="minorHAnsi"/>
                <w:sz w:val="22"/>
                <w:szCs w:val="22"/>
              </w:rPr>
              <w:t xml:space="preserve">Ex-post Evaluation of Certain </w:t>
            </w:r>
            <w:r w:rsidR="00883A4D">
              <w:rPr>
                <w:rStyle w:val="Hyperlink"/>
                <w:rFonts w:asciiTheme="minorHAnsi" w:hAnsiTheme="minorHAnsi" w:cstheme="minorHAnsi"/>
                <w:sz w:val="22"/>
                <w:szCs w:val="22"/>
              </w:rPr>
              <w:t>Waste</w:t>
            </w:r>
            <w:r w:rsidR="00883A4D">
              <w:rPr>
                <w:rStyle w:val="Hyperlink"/>
                <w:rFonts w:asciiTheme="minorHAnsi" w:hAnsiTheme="minorHAnsi" w:cstheme="minorHAnsi"/>
                <w:sz w:val="22"/>
                <w:szCs w:val="22"/>
              </w:rPr>
              <w:t xml:space="preserve"> Stream D</w:t>
            </w:r>
            <w:r w:rsidRPr="00982B06">
              <w:rPr>
                <w:rStyle w:val="Hyperlink"/>
                <w:rFonts w:asciiTheme="minorHAnsi" w:hAnsiTheme="minorHAnsi" w:cstheme="minorHAnsi"/>
                <w:sz w:val="22"/>
                <w:szCs w:val="22"/>
              </w:rPr>
              <w:t>irectives</w:t>
            </w:r>
            <w:r>
              <w:fldChar w:fldCharType="end"/>
            </w:r>
            <w:r w:rsidRPr="00891E6F">
              <w:rPr>
                <w:rFonts w:asciiTheme="minorHAnsi" w:hAnsiTheme="minorHAnsi" w:cstheme="minorHAnsi"/>
                <w:color w:val="000000" w:themeColor="text1"/>
                <w:sz w:val="22"/>
                <w:szCs w:val="22"/>
              </w:rPr>
              <w:t xml:space="preserve"> - BIO Intelligence Service 2014;</w:t>
            </w:r>
          </w:p>
          <w:p w:rsidR="00CA2A68" w:rsidRPr="009C42B0" w:rsidP="00CA2A68">
            <w:pPr>
              <w:pStyle w:val="ListParagraph"/>
              <w:numPr>
                <w:ilvl w:val="0"/>
                <w:numId w:val="42"/>
              </w:numPr>
              <w:spacing w:line="276" w:lineRule="auto"/>
              <w:ind w:left="360"/>
              <w:rPr>
                <w:rFonts w:asciiTheme="minorHAnsi" w:hAnsiTheme="minorHAnsi" w:cstheme="minorHAnsi"/>
                <w:color w:val="000000" w:themeColor="text1"/>
                <w:sz w:val="22"/>
                <w:szCs w:val="22"/>
                <w:lang w:val="en-IE"/>
              </w:rPr>
            </w:pPr>
            <w:r>
              <w:fldChar w:fldCharType="begin"/>
            </w:r>
            <w:r>
              <w:instrText xml:space="preserve"> HYPERLINK "https://ec.europa.eu/environment/water/water-urbanwaste/pdf/UWWTD%20Evaluation%20SWD%20448-701%20web.pdf" </w:instrText>
            </w:r>
            <w:r>
              <w:fldChar w:fldCharType="separate"/>
            </w:r>
            <w:r w:rsidRPr="009C42B0">
              <w:rPr>
                <w:rStyle w:val="Hyperlink"/>
                <w:rFonts w:asciiTheme="minorHAnsi" w:hAnsiTheme="minorHAnsi" w:cstheme="minorHAnsi"/>
                <w:sz w:val="22"/>
                <w:szCs w:val="22"/>
                <w:lang w:val="en-IE"/>
              </w:rPr>
              <w:t>Evaluation of the Urban Waste Water Treatment Directive</w:t>
            </w:r>
            <w:r>
              <w:fldChar w:fldCharType="end"/>
            </w:r>
            <w:r w:rsidRPr="009C42B0">
              <w:rPr>
                <w:rFonts w:asciiTheme="minorHAnsi" w:hAnsiTheme="minorHAnsi" w:cstheme="minorHAnsi"/>
                <w:color w:val="000000" w:themeColor="text1"/>
                <w:sz w:val="22"/>
                <w:szCs w:val="22"/>
                <w:lang w:val="en-IE"/>
              </w:rPr>
              <w:t xml:space="preserve"> 2019 and the </w:t>
            </w:r>
            <w:r w:rsidR="006B4A4D">
              <w:rPr>
                <w:rFonts w:asciiTheme="minorHAnsi" w:hAnsiTheme="minorHAnsi" w:cstheme="minorHAnsi"/>
                <w:sz w:val="22"/>
                <w:szCs w:val="22"/>
                <w:lang w:val="en-IE"/>
              </w:rPr>
              <w:t>contributing</w:t>
            </w:r>
            <w:r w:rsidRPr="009C42B0" w:rsidR="006B4A4D">
              <w:rPr>
                <w:rFonts w:asciiTheme="minorHAnsi" w:hAnsiTheme="minorHAnsi" w:cstheme="minorHAnsi"/>
                <w:sz w:val="22"/>
                <w:szCs w:val="22"/>
                <w:lang w:val="en-IE"/>
              </w:rPr>
              <w:t xml:space="preserve"> </w:t>
            </w:r>
            <w:r w:rsidRPr="009C42B0">
              <w:rPr>
                <w:rFonts w:asciiTheme="minorHAnsi" w:hAnsiTheme="minorHAnsi" w:cstheme="minorHAnsi"/>
                <w:sz w:val="22"/>
                <w:szCs w:val="22"/>
                <w:lang w:val="en-IE"/>
              </w:rPr>
              <w:t>study</w:t>
            </w:r>
            <w:r w:rsidRPr="009C42B0">
              <w:rPr>
                <w:rStyle w:val="Hyperlink"/>
                <w:rFonts w:asciiTheme="minorHAnsi" w:hAnsiTheme="minorHAnsi" w:cstheme="minorHAnsi"/>
                <w:sz w:val="22"/>
                <w:szCs w:val="22"/>
                <w:lang w:val="en-IE"/>
              </w:rPr>
              <w:t xml:space="preserve"> </w:t>
            </w:r>
            <w:r>
              <w:rPr>
                <w:rStyle w:val="Hyperlink"/>
                <w:rFonts w:asciiTheme="minorHAnsi" w:hAnsiTheme="minorHAnsi" w:cstheme="minorHAnsi"/>
                <w:sz w:val="22"/>
                <w:szCs w:val="22"/>
                <w:lang w:val="en-IE"/>
              </w:rPr>
              <w:t>W</w:t>
            </w:r>
            <w:r>
              <w:fldChar w:fldCharType="begin"/>
            </w:r>
            <w:r>
              <w:instrText xml:space="preserve"> HYPERLINK "https://publications.jrc.ec.europa.eu/repository/handle/JRC115607" </w:instrText>
            </w:r>
            <w:r>
              <w:fldChar w:fldCharType="separate"/>
            </w:r>
            <w:r w:rsidRPr="009C42B0">
              <w:rPr>
                <w:rStyle w:val="Hyperlink"/>
                <w:rFonts w:asciiTheme="minorHAnsi" w:hAnsiTheme="minorHAnsi" w:cstheme="minorHAnsi"/>
                <w:sz w:val="22"/>
                <w:szCs w:val="22"/>
                <w:shd w:val="clear" w:color="auto" w:fill="FFFFFF"/>
                <w:lang w:val="en-IE"/>
              </w:rPr>
              <w:t>ater quality in Europe: effects of the Urban Wastewater Treatment Directive</w:t>
            </w:r>
            <w:r>
              <w:fldChar w:fldCharType="end"/>
            </w:r>
            <w:r w:rsidRPr="009C42B0">
              <w:rPr>
                <w:rFonts w:asciiTheme="minorHAnsi" w:hAnsiTheme="minorHAnsi" w:cstheme="minorHAnsi"/>
                <w:color w:val="333333"/>
                <w:sz w:val="22"/>
                <w:szCs w:val="22"/>
                <w:shd w:val="clear" w:color="auto" w:fill="FFFFFF"/>
                <w:lang w:val="en-IE"/>
              </w:rPr>
              <w:t xml:space="preserve">" JRC </w:t>
            </w:r>
            <w:r w:rsidRPr="009C42B0">
              <w:rPr>
                <w:rFonts w:asciiTheme="minorHAnsi" w:hAnsiTheme="minorHAnsi" w:cstheme="minorHAnsi"/>
                <w:color w:val="000000" w:themeColor="text1"/>
                <w:sz w:val="22"/>
                <w:szCs w:val="22"/>
                <w:lang w:val="en-IE"/>
              </w:rPr>
              <w:t xml:space="preserve"> </w:t>
            </w:r>
            <w:r w:rsidRPr="009C42B0">
              <w:rPr>
                <w:rFonts w:asciiTheme="minorHAnsi" w:hAnsiTheme="minorHAnsi" w:cstheme="minorHAnsi"/>
                <w:sz w:val="22"/>
                <w:szCs w:val="22"/>
                <w:lang w:val="en-IE"/>
              </w:rPr>
              <w:t>2019</w:t>
            </w:r>
          </w:p>
          <w:p w:rsidR="00CA2A68" w:rsidRPr="00D26B3D" w:rsidP="006B4A4D">
            <w:pPr>
              <w:spacing w:before="100" w:beforeAutospacing="1" w:after="100" w:afterAutospacing="1"/>
              <w:rPr>
                <w:rFonts w:asciiTheme="minorHAnsi" w:hAnsiTheme="minorHAnsi" w:cstheme="minorHAnsi"/>
                <w:color w:val="000000" w:themeColor="text1"/>
                <w:sz w:val="22"/>
                <w:szCs w:val="22"/>
                <w:lang w:val="en-IE"/>
              </w:rPr>
            </w:pPr>
            <w:r>
              <w:rPr>
                <w:rFonts w:asciiTheme="minorHAnsi" w:hAnsiTheme="minorHAnsi" w:cstheme="minorHAnsi"/>
                <w:color w:val="000000" w:themeColor="text1"/>
                <w:sz w:val="22"/>
                <w:szCs w:val="22"/>
                <w:lang w:val="en-IE"/>
              </w:rPr>
              <w:t>Other data sources</w:t>
            </w:r>
          </w:p>
          <w:p w:rsidR="00D26B3D" w:rsidRPr="00D26B3D" w:rsidP="006B4A4D">
            <w:pPr>
              <w:pStyle w:val="ListParagraph"/>
              <w:numPr>
                <w:ilvl w:val="0"/>
                <w:numId w:val="42"/>
              </w:numPr>
              <w:spacing w:line="276" w:lineRule="auto"/>
              <w:ind w:left="360"/>
              <w:rPr>
                <w:rFonts w:asciiTheme="minorHAnsi" w:hAnsiTheme="minorHAnsi" w:cstheme="minorHAnsi"/>
                <w:sz w:val="22"/>
                <w:szCs w:val="22"/>
                <w:lang w:val="en-IE"/>
              </w:rPr>
            </w:pPr>
            <w:r>
              <w:fldChar w:fldCharType="begin"/>
            </w:r>
            <w:r>
              <w:instrText xml:space="preserve"> HYPERLINK "https://esdac.jrc.ec.europa.eu/projects/lucas" </w:instrText>
            </w:r>
            <w:r>
              <w:fldChar w:fldCharType="separate"/>
            </w:r>
            <w:r w:rsidRPr="00D26B3D">
              <w:rPr>
                <w:rStyle w:val="Hyperlink"/>
                <w:rFonts w:asciiTheme="minorHAnsi" w:hAnsiTheme="minorHAnsi" w:cstheme="minorHAnsi"/>
                <w:sz w:val="22"/>
                <w:szCs w:val="22"/>
                <w:lang w:val="en-IE"/>
              </w:rPr>
              <w:t>LUCAS - Land Use and Coverage Area frame Survey</w:t>
            </w:r>
            <w:r>
              <w:fldChar w:fldCharType="end"/>
            </w:r>
            <w:r w:rsidRPr="00D26B3D">
              <w:rPr>
                <w:rFonts w:asciiTheme="minorHAnsi" w:hAnsiTheme="minorHAnsi" w:cstheme="minorHAnsi"/>
                <w:sz w:val="22"/>
                <w:szCs w:val="22"/>
                <w:lang w:val="en-IE"/>
              </w:rPr>
              <w:t xml:space="preserve">   </w:t>
            </w:r>
          </w:p>
          <w:p w:rsidR="006A3D25" w:rsidRPr="001A689C" w:rsidP="00AF2CA9">
            <w:pPr>
              <w:pStyle w:val="ListParagraph"/>
              <w:numPr>
                <w:ilvl w:val="0"/>
                <w:numId w:val="42"/>
              </w:numPr>
              <w:spacing w:line="276" w:lineRule="auto"/>
              <w:ind w:left="360"/>
              <w:rPr>
                <w:rFonts w:ascii="Arial" w:hAnsi="Arial" w:cs="Arial"/>
                <w:i/>
                <w:color w:val="1036A0"/>
                <w:sz w:val="20"/>
                <w:lang w:val="en-IE"/>
              </w:rPr>
            </w:pPr>
            <w:r>
              <w:fldChar w:fldCharType="begin"/>
            </w:r>
            <w:r>
              <w:instrText xml:space="preserve"> HYPERLINK "https://ipchem.jrc.ec.europa.eu/RDSIdiscovery/ipchem/index.html" </w:instrText>
            </w:r>
            <w:r>
              <w:fldChar w:fldCharType="separate"/>
            </w:r>
            <w:r w:rsidRPr="00D26B3D" w:rsidR="00D26B3D">
              <w:rPr>
                <w:rStyle w:val="Hyperlink"/>
                <w:rFonts w:asciiTheme="minorHAnsi" w:hAnsiTheme="minorHAnsi" w:cstheme="minorHAnsi"/>
                <w:sz w:val="22"/>
                <w:szCs w:val="22"/>
                <w:lang w:val="en-IE"/>
              </w:rPr>
              <w:t>The Information Platform for Chemical Monitoring (IPCHEM)</w:t>
            </w:r>
            <w:r>
              <w:fldChar w:fldCharType="end"/>
            </w:r>
            <w:r w:rsidRPr="00D26B3D" w:rsidR="00D26B3D">
              <w:rPr>
                <w:rFonts w:asciiTheme="minorHAnsi" w:hAnsiTheme="minorHAnsi" w:cstheme="minorHAnsi"/>
                <w:sz w:val="22"/>
                <w:szCs w:val="22"/>
                <w:lang w:val="en-IE"/>
              </w:rPr>
              <w:t xml:space="preserve">  </w:t>
            </w:r>
          </w:p>
        </w:tc>
      </w:tr>
    </w:tbl>
    <w:p w:rsidR="001E0806" w:rsidRPr="001E0806" w:rsidP="004B1D74"/>
    <w:sectPr w:rsidSect="003F369F">
      <w:footerReference w:type="default" r:id="rId11"/>
      <w:headerReference w:type="first" r:id="rId12"/>
      <w:pgSz w:w="11906" w:h="16838"/>
      <w:pgMar w:top="1020" w:right="1701" w:bottom="1020" w:left="1587" w:header="601" w:footer="107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3AB">
    <w:pPr>
      <w:pStyle w:val="Footer"/>
      <w:jc w:val="center"/>
    </w:pPr>
    <w:r>
      <w:fldChar w:fldCharType="begin"/>
    </w:r>
    <w:r>
      <w:instrText>PAGE</w:instrText>
    </w:r>
    <w:r>
      <w:fldChar w:fldCharType="separate"/>
    </w:r>
    <w:r w:rsidR="0034255D">
      <w:rPr>
        <w:noProof/>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3AB" w:rsidP="004B1D74">
    <w:pPr>
      <w:pStyle w:val="Header"/>
      <w:spacing w:after="0"/>
      <w:jc w:val="center"/>
    </w:pPr>
    <w:r>
      <w:rPr>
        <w:rFonts w:ascii="Arial" w:hAnsi="Arial" w:cs="Arial"/>
        <w:noProof/>
        <w:lang w:val="fr-BE" w:eastAsia="fr-BE"/>
      </w:rPr>
      <w:drawing>
        <wp:inline distT="0" distB="0" distL="0" distR="0">
          <wp:extent cx="1908175" cy="508635"/>
          <wp:effectExtent l="0" t="0" r="0" b="5715"/>
          <wp:docPr id="4" name="Picture 4"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8175" cy="508635"/>
                  </a:xfrm>
                  <a:prstGeom prst="rect">
                    <a:avLst/>
                  </a:prstGeom>
                  <a:noFill/>
                  <a:ln>
                    <a:noFill/>
                  </a:ln>
                </pic:spPr>
              </pic:pic>
            </a:graphicData>
          </a:graphic>
        </wp:inline>
      </w:drawing>
    </w:r>
  </w:p>
  <w:p w:rsidR="004B1D74" w:rsidP="004B1D74">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start w:val="1"/>
      <w:numFmt w:val="decimal"/>
      <w:lvlText w:val="%1."/>
      <w:lvlJc w:val="left"/>
      <w:pPr>
        <w:tabs>
          <w:tab w:val="num" w:pos="476"/>
        </w:tabs>
        <w:ind w:left="476" w:hanging="47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A37074"/>
    <w:multiLevelType w:val="hybridMultilevel"/>
    <w:tmpl w:val="7B421014"/>
    <w:lvl w:ilvl="0">
      <w:start w:val="1"/>
      <w:numFmt w:val="decimal"/>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0D5E5F"/>
    <w:multiLevelType w:val="hybridMultilevel"/>
    <w:tmpl w:val="594C4F24"/>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9853E67"/>
    <w:multiLevelType w:val="hybridMultilevel"/>
    <w:tmpl w:val="6F8E2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C54254"/>
    <w:multiLevelType w:val="hybridMultilevel"/>
    <w:tmpl w:val="8AC41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0B47AB"/>
    <w:multiLevelType w:val="hybridMultilevel"/>
    <w:tmpl w:val="7B421014"/>
    <w:lvl w:ilvl="0">
      <w:start w:val="1"/>
      <w:numFmt w:val="decimal"/>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5E2CC9"/>
    <w:multiLevelType w:val="hybridMultilevel"/>
    <w:tmpl w:val="D250E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0281B29"/>
    <w:multiLevelType w:val="hybridMultilevel"/>
    <w:tmpl w:val="75ACB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3F2F84"/>
    <w:multiLevelType w:val="hybridMultilevel"/>
    <w:tmpl w:val="2E607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91E7EF1"/>
    <w:multiLevelType w:val="hybridMultilevel"/>
    <w:tmpl w:val="78249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3C3D2A"/>
    <w:multiLevelType w:val="hybridMultilevel"/>
    <w:tmpl w:val="2FF421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B483D5E"/>
    <w:multiLevelType w:val="hybridMultilevel"/>
    <w:tmpl w:val="55C27790"/>
    <w:lvl w:ilvl="0">
      <w:start w:val="1"/>
      <w:numFmt w:val="decimal"/>
      <w:pStyle w:val="IAToolChapterHeading"/>
      <w:lvlText w:val="Tool #%1."/>
      <w:lvlJc w:val="left"/>
      <w:pPr>
        <w:ind w:left="717" w:hanging="360"/>
      </w:pPr>
      <w:rPr>
        <w:rFonts w:hint="default"/>
        <w:b/>
        <w:i w:val="0"/>
        <w:cap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BA006E"/>
    <w:multiLevelType w:val="hybridMultilevel"/>
    <w:tmpl w:val="3408947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A123008"/>
    <w:multiLevelType w:val="hybridMultilevel"/>
    <w:tmpl w:val="BAAAB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270BCE"/>
    <w:multiLevelType w:val="hybridMultilevel"/>
    <w:tmpl w:val="37FAD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2161FA8"/>
    <w:multiLevelType w:val="hybridMultilevel"/>
    <w:tmpl w:val="71A41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30130B"/>
    <w:multiLevelType w:val="hybridMultilevel"/>
    <w:tmpl w:val="D3CA85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22"/>
  </w:num>
  <w:num w:numId="5">
    <w:abstractNumId w:val="11"/>
  </w:num>
  <w:num w:numId="6">
    <w:abstractNumId w:val="21"/>
  </w:num>
  <w:num w:numId="7">
    <w:abstractNumId w:val="31"/>
  </w:num>
  <w:num w:numId="8">
    <w:abstractNumId w:val="33"/>
  </w:num>
  <w:num w:numId="9">
    <w:abstractNumId w:val="17"/>
  </w:num>
  <w:num w:numId="10">
    <w:abstractNumId w:val="30"/>
  </w:num>
  <w:num w:numId="11">
    <w:abstractNumId w:val="29"/>
  </w:num>
  <w:num w:numId="12">
    <w:abstractNumId w:val="23"/>
  </w:num>
  <w:num w:numId="13">
    <w:abstractNumId w:val="26"/>
  </w:num>
  <w:num w:numId="14">
    <w:abstractNumId w:val="9"/>
  </w:num>
  <w:num w:numId="15">
    <w:abstractNumId w:val="18"/>
  </w:num>
  <w:num w:numId="16">
    <w:abstractNumId w:val="6"/>
  </w:num>
  <w:num w:numId="17">
    <w:abstractNumId w:val="12"/>
  </w:num>
  <w:num w:numId="18">
    <w:abstractNumId w:val="34"/>
  </w:num>
  <w:num w:numId="19">
    <w:abstractNumId w:val="13"/>
  </w:num>
  <w:num w:numId="20">
    <w:abstractNumId w:val="36"/>
  </w:num>
  <w:num w:numId="21">
    <w:abstractNumId w:val="2"/>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24"/>
  </w:num>
  <w:num w:numId="29">
    <w:abstractNumId w:val="7"/>
  </w:num>
  <w:num w:numId="30">
    <w:abstractNumId w:val="20"/>
  </w:num>
  <w:num w:numId="31">
    <w:abstractNumId w:val="14"/>
  </w:num>
  <w:num w:numId="32">
    <w:abstractNumId w:val="4"/>
  </w:num>
  <w:num w:numId="33">
    <w:abstractNumId w:val="35"/>
  </w:num>
  <w:num w:numId="34">
    <w:abstractNumId w:val="14"/>
  </w:num>
  <w:num w:numId="35">
    <w:abstractNumId w:val="8"/>
  </w:num>
  <w:num w:numId="36">
    <w:abstractNumId w:val="27"/>
  </w:num>
  <w:num w:numId="37">
    <w:abstractNumId w:val="28"/>
  </w:num>
  <w:num w:numId="38">
    <w:abstractNumId w:val="15"/>
  </w:num>
  <w:num w:numId="39">
    <w:abstractNumId w:val="32"/>
  </w:num>
  <w:num w:numId="40">
    <w:abstractNumId w:val="25"/>
  </w:num>
  <w:num w:numId="41">
    <w:abstractNumId w:val="10"/>
  </w:num>
  <w:num w:numId="42">
    <w:abstractNumId w:val="19"/>
  </w:num>
  <w:num w:numId="43">
    <w:abstractNumId w:val="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806"/>
    <w:pPr>
      <w:spacing w:after="240"/>
      <w:jc w:val="both"/>
    </w:pPr>
    <w:rPr>
      <w:sz w:val="24"/>
      <w:lang w:eastAsia="en-US"/>
    </w:rPr>
  </w:style>
  <w:style w:type="paragraph" w:styleId="Heading1">
    <w:name w:val="heading 1"/>
    <w:basedOn w:val="Normal"/>
    <w:next w:val="Text1"/>
    <w:qFormat/>
    <w:rsid w:val="00661B0F"/>
    <w:pPr>
      <w:keepNext/>
      <w:numPr>
        <w:numId w:val="29"/>
      </w:numPr>
      <w:spacing w:before="240"/>
      <w:outlineLvl w:val="0"/>
    </w:pPr>
    <w:rPr>
      <w:b/>
      <w:smallCaps/>
    </w:rPr>
  </w:style>
  <w:style w:type="paragraph" w:styleId="Heading2">
    <w:name w:val="heading 2"/>
    <w:basedOn w:val="Normal"/>
    <w:next w:val="Text2"/>
    <w:qFormat/>
    <w:rsid w:val="00661B0F"/>
    <w:pPr>
      <w:keepNext/>
      <w:numPr>
        <w:ilvl w:val="1"/>
        <w:numId w:val="29"/>
      </w:numPr>
      <w:outlineLvl w:val="1"/>
    </w:pPr>
    <w:rPr>
      <w:b/>
    </w:rPr>
  </w:style>
  <w:style w:type="paragraph" w:styleId="Heading3">
    <w:name w:val="heading 3"/>
    <w:basedOn w:val="Normal"/>
    <w:next w:val="Text3"/>
    <w:qFormat/>
    <w:rsid w:val="00661B0F"/>
    <w:pPr>
      <w:keepNext/>
      <w:numPr>
        <w:ilvl w:val="2"/>
        <w:numId w:val="29"/>
      </w:numPr>
      <w:outlineLvl w:val="2"/>
    </w:pPr>
    <w:rPr>
      <w:i/>
    </w:rPr>
  </w:style>
  <w:style w:type="paragraph" w:styleId="Heading4">
    <w:name w:val="heading 4"/>
    <w:basedOn w:val="Normal"/>
    <w:next w:val="Text4"/>
    <w:qFormat/>
    <w:rsid w:val="00661B0F"/>
    <w:pPr>
      <w:keepNext/>
      <w:numPr>
        <w:ilvl w:val="3"/>
        <w:numId w:val="29"/>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10,92,93,Boston,Boston 10,Char,DNV-FT,FOOTNOTES,Font:,Font: Geneva 9,Footnote Text Char Char,Footnote Text Rail EIS,Footnote ak,Footnotes,Footnotes Char Char,Fußnote,Geneva,Geneva 9,f,fn,fn Char Char,fn cafc,footnote3,ft,single space,tex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paragraph" w:customStyle="1" w:styleId="IAToolChapterHeading">
    <w:name w:val="IA Tool Chapter Heading"/>
    <w:basedOn w:val="Normal"/>
    <w:next w:val="Normal"/>
    <w:qFormat/>
    <w:rsid w:val="00085CA5"/>
    <w:pPr>
      <w:numPr>
        <w:numId w:val="28"/>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rsid w:val="001E0806"/>
    <w:rPr>
      <w:rFonts w:ascii="Arial" w:hAnsi="Arial"/>
      <w:sz w:val="16"/>
      <w:lang w:eastAsia="en-US"/>
    </w:rPr>
  </w:style>
  <w:style w:type="character" w:customStyle="1" w:styleId="HeaderChar">
    <w:name w:val="Header Char"/>
    <w:basedOn w:val="DefaultParagraphFont"/>
    <w:link w:val="Header"/>
    <w:uiPriority w:val="99"/>
    <w:rsid w:val="001E0806"/>
    <w:rPr>
      <w:sz w:val="24"/>
      <w:lang w:eastAsia="en-US"/>
    </w:rPr>
  </w:style>
  <w:style w:type="character" w:styleId="PageNumber">
    <w:name w:val="page number"/>
    <w:rsid w:val="001E0806"/>
  </w:style>
  <w:style w:type="paragraph" w:styleId="BalloonText">
    <w:name w:val="Balloon Text"/>
    <w:basedOn w:val="Normal"/>
    <w:link w:val="BalloonTextChar"/>
    <w:uiPriority w:val="99"/>
    <w:semiHidden/>
    <w:unhideWhenUsed/>
    <w:rsid w:val="001E08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06"/>
    <w:rPr>
      <w:rFonts w:ascii="Tahoma" w:hAnsi="Tahoma" w:cs="Tahoma"/>
      <w:sz w:val="16"/>
      <w:szCs w:val="16"/>
      <w:lang w:eastAsia="en-US"/>
    </w:rPr>
  </w:style>
  <w:style w:type="character" w:styleId="Hyperlink">
    <w:name w:val="Hyperlink"/>
    <w:basedOn w:val="DefaultParagraphFont"/>
    <w:uiPriority w:val="99"/>
    <w:unhideWhenUsed/>
    <w:rsid w:val="00E02927"/>
    <w:rPr>
      <w:color w:val="0000FF" w:themeColor="hyperlink"/>
      <w:u w:val="single"/>
    </w:rPr>
  </w:style>
  <w:style w:type="character" w:styleId="CommentReference">
    <w:name w:val="annotation reference"/>
    <w:basedOn w:val="DefaultParagraphFont"/>
    <w:uiPriority w:val="99"/>
    <w:semiHidden/>
    <w:unhideWhenUsed/>
    <w:rsid w:val="00C2046F"/>
    <w:rPr>
      <w:sz w:val="16"/>
      <w:szCs w:val="16"/>
    </w:rPr>
  </w:style>
  <w:style w:type="paragraph" w:styleId="CommentSubject">
    <w:name w:val="annotation subject"/>
    <w:basedOn w:val="CommentText"/>
    <w:next w:val="CommentText"/>
    <w:link w:val="CommentSubjectChar"/>
    <w:uiPriority w:val="99"/>
    <w:semiHidden/>
    <w:unhideWhenUsed/>
    <w:rsid w:val="00C2046F"/>
    <w:rPr>
      <w:b/>
      <w:bCs/>
    </w:rPr>
  </w:style>
  <w:style w:type="character" w:customStyle="1" w:styleId="CommentTextChar">
    <w:name w:val="Comment Text Char"/>
    <w:basedOn w:val="DefaultParagraphFont"/>
    <w:link w:val="CommentText"/>
    <w:uiPriority w:val="99"/>
    <w:rsid w:val="00C2046F"/>
    <w:rPr>
      <w:lang w:eastAsia="en-US"/>
    </w:rPr>
  </w:style>
  <w:style w:type="character" w:customStyle="1" w:styleId="CommentSubjectChar">
    <w:name w:val="Comment Subject Char"/>
    <w:basedOn w:val="CommentTextChar"/>
    <w:link w:val="CommentSubject"/>
    <w:uiPriority w:val="99"/>
    <w:semiHidden/>
    <w:rsid w:val="00C2046F"/>
    <w:rPr>
      <w:b/>
      <w:bCs/>
      <w:lang w:eastAsia="en-US"/>
    </w:rPr>
  </w:style>
  <w:style w:type="paragraph" w:styleId="ListParagraph">
    <w:name w:val="List Paragraph"/>
    <w:aliases w:val="Bullet Points,Colorful List - Accent 11,Dot pt,F5 List Paragraph,Indicator Text,List Paragraph Char Char Char,List Paragraph1,List Paragraph11,List Paragraph12,MAIN CONTENT,No Spacing1,Normal numbered,Numbered Para 1,OBC Bullet"/>
    <w:basedOn w:val="Normal"/>
    <w:link w:val="ListParagraphChar"/>
    <w:uiPriority w:val="34"/>
    <w:qFormat/>
    <w:rsid w:val="00C2046F"/>
    <w:pPr>
      <w:spacing w:after="0"/>
      <w:ind w:left="720"/>
      <w:contextualSpacing/>
      <w:jc w:val="left"/>
    </w:pPr>
    <w:rPr>
      <w:szCs w:val="24"/>
      <w:lang w:val="fr-FR" w:eastAsia="en-GB"/>
    </w:rPr>
  </w:style>
  <w:style w:type="character" w:customStyle="1" w:styleId="FootnoteTextChar">
    <w:name w:val="Footnote Text Char"/>
    <w:aliases w:val="10 Char,92 Char,Boston 10 Char,Boston Char,DNV-FT Char,FOOTNOTES Char,Font: Char,Font: Geneva 9 Char,Footnote Text Rail EIS Char,Geneva 9 Char,Geneva Char,f Char,fn Char,fn cafc Char,footnote3 Char,ft Char,single space Char,text Char"/>
    <w:basedOn w:val="DefaultParagraphFont"/>
    <w:link w:val="FootnoteText"/>
    <w:rsid w:val="00D73170"/>
    <w:rPr>
      <w:lang w:eastAsia="en-US"/>
    </w:rPr>
  </w:style>
  <w:style w:type="character" w:styleId="FootnoteReference">
    <w:name w:val="footnote reference"/>
    <w:aliases w:val="(Ref. de nota al pie),16 Point,EN Footnote Reference,Exposant 3 Point,Footnote Reference Superscript,Footnote reference number,Footnote symbol,Footnote text,Ref,SUPERS,Superscript 6 Point,Times 10 Point,ftref,note TESI,number,stylish"/>
    <w:qFormat/>
    <w:rsid w:val="00D73170"/>
    <w:rPr>
      <w:vertAlign w:val="superscript"/>
    </w:rPr>
  </w:style>
  <w:style w:type="paragraph" w:styleId="NoSpacing">
    <w:name w:val="No Spacing"/>
    <w:uiPriority w:val="1"/>
    <w:qFormat/>
    <w:rsid w:val="00D73170"/>
    <w:pPr>
      <w:jc w:val="both"/>
    </w:pPr>
    <w:rPr>
      <w:sz w:val="24"/>
      <w:lang w:eastAsia="en-US"/>
    </w:rPr>
  </w:style>
  <w:style w:type="character" w:customStyle="1" w:styleId="UnresolvedMention">
    <w:name w:val="Unresolved Mention"/>
    <w:basedOn w:val="DefaultParagraphFont"/>
    <w:uiPriority w:val="99"/>
    <w:semiHidden/>
    <w:unhideWhenUsed/>
    <w:rsid w:val="00F879CF"/>
    <w:rPr>
      <w:color w:val="605E5C"/>
      <w:shd w:val="clear" w:color="auto" w:fill="E1DFDD"/>
    </w:rPr>
  </w:style>
  <w:style w:type="character" w:customStyle="1" w:styleId="ListParagraphChar">
    <w:name w:val="List Paragraph Char"/>
    <w:aliases w:val="Bullet Points Char,Dot pt Char,Indicator Text Char,List Paragraph Char Char Char Char,List Paragraph1 Char,List Paragraph11 Char,List Paragraph12 Char,MAIN CONTENT Char,No Spacing1 Char,Numbered Para 1 Char,OBC Bullet Char"/>
    <w:link w:val="ListParagraph"/>
    <w:uiPriority w:val="34"/>
    <w:qFormat/>
    <w:locked/>
    <w:rsid w:val="002253B7"/>
    <w:rPr>
      <w:sz w:val="24"/>
      <w:szCs w:val="24"/>
      <w:lang w:val="fr-FR"/>
    </w:rPr>
  </w:style>
  <w:style w:type="character" w:styleId="FollowedHyperlink">
    <w:name w:val="FollowedHyperlink"/>
    <w:basedOn w:val="DefaultParagraphFont"/>
    <w:uiPriority w:val="99"/>
    <w:semiHidden/>
    <w:unhideWhenUsed/>
    <w:rsid w:val="00AA4BBD"/>
    <w:rPr>
      <w:color w:val="800080" w:themeColor="followedHyperlink"/>
      <w:u w:val="single"/>
    </w:rPr>
  </w:style>
  <w:style w:type="paragraph" w:styleId="Revision">
    <w:name w:val="Revision"/>
    <w:hidden/>
    <w:uiPriority w:val="99"/>
    <w:semiHidden/>
    <w:rsid w:val="005A76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DIaLOGIKa\Eurolook\Templates\Eurolook.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Author Role="Creator">
  <Id>446c8849-f8d6-46e8-b930-aa675ea7fff3</Id>
  <Names>
    <Latin>
      <FirstName>Jesus</FirstName>
      <LastName>SANCHEZ MERINO</LastName>
    </Latin>
    <Greek>
      <FirstName/>
      <LastName/>
    </Greek>
    <Cyrillic>
      <FirstName/>
      <LastName/>
    </Cyrillic>
    <DocumentScript>
      <FirstName>Jesus</FirstName>
      <LastName>SANCHEZ MERINO</LastName>
      <FullName>Jesus SANCHEZ MERINO</FullName>
    </DocumentScript>
  </Names>
  <Initials>JSM</Initials>
  <Gender>m</Gender>
  <Email>Jesus.Sanchez-Merino@ec.europa.eu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+32 229 94189</Phone>
    <Office>BERL 05/096</Office>
  </MainWorkplace>
  <Workplaces>
    <Workplace IsMain="false">
      <AddressId>1264fb81-f6bb-475e-9f9d-a937d3be6ee2</AddressId>
      <Fax/>
      <Phone/>
      <Office/>
    </Workplace>
    <Workplace IsMain="true">
      <AddressId>f03b5801-04c9-4931-aa17-c6d6c70bc579</AddressId>
      <Fax/>
      <Phone>+32 229 94189</Phone>
      <Office>BERL 05/096</Office>
    </Workplace>
  </Workplaces>
</Author>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EurolookProperties>
  <ProductCustomizationId/>
  <Created>
    <Version>4.6</Version>
    <Date>2019-02-18T10:10:12</Date>
    <Language>EN</Language>
  </Created>
  <Edited>
    <Version>10.0.40769.0</Version>
    <Date>2020-06-15T12:28:10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6D38-6E39-4620-8982-A44FCB0D78BC}">
  <ds:schemaRefs/>
</ds:datastoreItem>
</file>

<file path=customXml/itemProps2.xml><?xml version="1.0" encoding="utf-8"?>
<ds:datastoreItem xmlns:ds="http://schemas.openxmlformats.org/officeDocument/2006/customXml" ds:itemID="{92931C26-4BB6-4C23-AC93-3863D42726BD}">
  <ds:schemaRefs/>
</ds:datastoreItem>
</file>

<file path=customXml/itemProps3.xml><?xml version="1.0" encoding="utf-8"?>
<ds:datastoreItem xmlns:ds="http://schemas.openxmlformats.org/officeDocument/2006/customXml" ds:itemID="{13ACA7DB-6CA2-49B6-85C0-8A7872EB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A2BA7-2CAB-4C91-B3A5-D8764D4A1DA4}">
  <ds:schemaRefs>
    <ds:schemaRef ds:uri="http://schemas.microsoft.com/sharepoint/v3/contenttype/forms"/>
  </ds:schemaRefs>
</ds:datastoreItem>
</file>

<file path=customXml/itemProps5.xml><?xml version="1.0" encoding="utf-8"?>
<ds:datastoreItem xmlns:ds="http://schemas.openxmlformats.org/officeDocument/2006/customXml" ds:itemID="{92152C55-C3B5-4FC1-B037-33CCB35DA02F}">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9ED0C79-D88A-4206-B956-F350406CB40A}">
  <ds:schemaRefs/>
</ds:datastoreItem>
</file>

<file path=customXml/itemProps7.xml><?xml version="1.0" encoding="utf-8"?>
<ds:datastoreItem xmlns:ds="http://schemas.openxmlformats.org/officeDocument/2006/customXml" ds:itemID="{3C9BA096-21B5-4665-AA4B-6B440CE0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