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AD94E" w14:textId="40E918FD" w:rsidR="00CE5F79" w:rsidRPr="00E43A23" w:rsidRDefault="00E43A23" w:rsidP="00646791">
      <w:pPr>
        <w:autoSpaceDE w:val="0"/>
        <w:autoSpaceDN w:val="0"/>
        <w:adjustRightInd w:val="0"/>
        <w:jc w:val="both"/>
        <w:rPr>
          <w:rFonts w:ascii="Calibri" w:hAnsi="Calibri" w:cs="Arial"/>
          <w:b/>
          <w:bCs/>
          <w:sz w:val="22"/>
          <w:szCs w:val="22"/>
        </w:rPr>
      </w:pPr>
      <w:r w:rsidRPr="00E43A23">
        <w:rPr>
          <w:rFonts w:ascii="Calibri" w:hAnsi="Calibri" w:cs="Arial"/>
          <w:b/>
          <w:bCs/>
          <w:color w:val="000000"/>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0703BF" w:rsidRPr="00E43A23">
        <w:rPr>
          <w:rFonts w:ascii="Calibri" w:hAnsi="Calibri" w:cs="Arial"/>
          <w:b/>
          <w:bCs/>
          <w:color w:val="000000"/>
          <w:sz w:val="22"/>
          <w:szCs w:val="22"/>
        </w:rPr>
        <w:t>Aggiornamento Linee guida per la riapertura delle attività economiche, produttive e ricreative</w:t>
      </w:r>
    </w:p>
    <w:p w14:paraId="6EFABF71" w14:textId="60D12F65" w:rsidR="00371573" w:rsidRPr="00E43A23" w:rsidRDefault="00371573" w:rsidP="000703BF">
      <w:pPr>
        <w:jc w:val="both"/>
        <w:rPr>
          <w:rFonts w:ascii="Calibri" w:hAnsi="Calibri" w:cs="Arial"/>
          <w:color w:val="000000"/>
          <w:sz w:val="22"/>
          <w:szCs w:val="22"/>
        </w:rPr>
      </w:pPr>
    </w:p>
    <w:p w14:paraId="13814AC5" w14:textId="442188CF" w:rsidR="000703BF" w:rsidRPr="00E43A23" w:rsidRDefault="00A36313" w:rsidP="000703BF">
      <w:pPr>
        <w:autoSpaceDE w:val="0"/>
        <w:autoSpaceDN w:val="0"/>
        <w:adjustRightInd w:val="0"/>
        <w:jc w:val="both"/>
        <w:rPr>
          <w:rFonts w:ascii="Calibri" w:hAnsi="Calibri" w:cs="Arial"/>
          <w:sz w:val="22"/>
          <w:szCs w:val="22"/>
        </w:rPr>
      </w:pPr>
      <w:r w:rsidRPr="00E43A23">
        <w:rPr>
          <w:rFonts w:ascii="Calibri" w:hAnsi="Calibri"/>
          <w:sz w:val="22"/>
          <w:szCs w:val="22"/>
        </w:rPr>
        <w:t xml:space="preserve">Analisi delle principali integrazioni </w:t>
      </w:r>
    </w:p>
    <w:p w14:paraId="621E22E8" w14:textId="00A18BFC" w:rsidR="000703BF" w:rsidRPr="00E43A23" w:rsidRDefault="000703BF" w:rsidP="000703BF">
      <w:pPr>
        <w:autoSpaceDE w:val="0"/>
        <w:autoSpaceDN w:val="0"/>
        <w:adjustRightInd w:val="0"/>
        <w:jc w:val="both"/>
        <w:rPr>
          <w:rFonts w:ascii="Calibri" w:hAnsi="Calibri" w:cs="Arial"/>
          <w:sz w:val="22"/>
          <w:szCs w:val="22"/>
        </w:rPr>
      </w:pPr>
    </w:p>
    <w:p w14:paraId="5083E4DD" w14:textId="77777777" w:rsidR="0013536D" w:rsidRPr="00E43A23" w:rsidRDefault="0013536D" w:rsidP="000703BF">
      <w:pPr>
        <w:autoSpaceDE w:val="0"/>
        <w:autoSpaceDN w:val="0"/>
        <w:adjustRightInd w:val="0"/>
        <w:jc w:val="both"/>
        <w:rPr>
          <w:rFonts w:ascii="Calibri" w:hAnsi="Calibri" w:cs="Arial"/>
          <w:sz w:val="22"/>
          <w:szCs w:val="22"/>
        </w:rPr>
      </w:pPr>
    </w:p>
    <w:p w14:paraId="392E1917" w14:textId="17963637" w:rsidR="000703BF" w:rsidRPr="00E43A23" w:rsidRDefault="00A36313" w:rsidP="000703BF">
      <w:pPr>
        <w:autoSpaceDE w:val="0"/>
        <w:autoSpaceDN w:val="0"/>
        <w:adjustRightInd w:val="0"/>
        <w:jc w:val="both"/>
        <w:rPr>
          <w:rFonts w:ascii="Calibri" w:hAnsi="Calibri" w:cs="Arial"/>
          <w:sz w:val="22"/>
          <w:szCs w:val="22"/>
        </w:rPr>
      </w:pPr>
      <w:r w:rsidRPr="00E43A23">
        <w:rPr>
          <w:rFonts w:ascii="Calibri" w:hAnsi="Calibri" w:cs="Arial"/>
          <w:sz w:val="22"/>
          <w:szCs w:val="22"/>
        </w:rPr>
        <w:t xml:space="preserve">È </w:t>
      </w:r>
      <w:r w:rsidR="000703BF" w:rsidRPr="00E43A23">
        <w:rPr>
          <w:rFonts w:ascii="Calibri" w:hAnsi="Calibri" w:cs="Arial"/>
          <w:sz w:val="22"/>
          <w:szCs w:val="22"/>
        </w:rPr>
        <w:t xml:space="preserve">disponibile, in </w:t>
      </w:r>
      <w:r w:rsidR="000703BF" w:rsidRPr="00E43A23">
        <w:rPr>
          <w:rFonts w:ascii="Calibri" w:hAnsi="Calibri" w:cs="Arial"/>
          <w:b/>
          <w:bCs/>
          <w:sz w:val="22"/>
          <w:szCs w:val="22"/>
        </w:rPr>
        <w:t>allegato</w:t>
      </w:r>
      <w:r w:rsidR="000703BF" w:rsidRPr="00E43A23">
        <w:rPr>
          <w:rFonts w:ascii="Calibri" w:hAnsi="Calibri" w:cs="Arial"/>
          <w:sz w:val="22"/>
          <w:szCs w:val="22"/>
        </w:rPr>
        <w:t xml:space="preserve">, il documento </w:t>
      </w:r>
      <w:r w:rsidRPr="00E43A23">
        <w:rPr>
          <w:rFonts w:ascii="Calibri" w:hAnsi="Calibri" w:cs="Arial"/>
          <w:sz w:val="22"/>
          <w:szCs w:val="22"/>
        </w:rPr>
        <w:t>relativo alle</w:t>
      </w:r>
      <w:r w:rsidR="000703BF" w:rsidRPr="00E43A23">
        <w:rPr>
          <w:rFonts w:ascii="Calibri" w:hAnsi="Calibri" w:cs="Arial"/>
          <w:sz w:val="22"/>
          <w:szCs w:val="22"/>
        </w:rPr>
        <w:t xml:space="preserve"> </w:t>
      </w:r>
      <w:r w:rsidR="000703BF" w:rsidRPr="00E43A23">
        <w:rPr>
          <w:rFonts w:ascii="Calibri" w:hAnsi="Calibri" w:cs="Arial"/>
          <w:i/>
          <w:iCs/>
          <w:sz w:val="22"/>
          <w:szCs w:val="22"/>
        </w:rPr>
        <w:t>Linee guida per la riapertura delle Attività Economiche, Produttive e Ricreative</w:t>
      </w:r>
      <w:r w:rsidR="000703BF" w:rsidRPr="00E43A23">
        <w:rPr>
          <w:rFonts w:ascii="Calibri" w:hAnsi="Calibri" w:cs="Arial"/>
          <w:sz w:val="22"/>
          <w:szCs w:val="22"/>
        </w:rPr>
        <w:t>, aggiornato dalla Conferenza delle Regioni e delle Province autonome il 9 giugno scorso.</w:t>
      </w:r>
    </w:p>
    <w:p w14:paraId="38855608" w14:textId="77777777" w:rsidR="000703BF" w:rsidRPr="00E43A23" w:rsidRDefault="000703BF" w:rsidP="000703BF">
      <w:pPr>
        <w:autoSpaceDE w:val="0"/>
        <w:autoSpaceDN w:val="0"/>
        <w:adjustRightInd w:val="0"/>
        <w:jc w:val="both"/>
        <w:rPr>
          <w:rFonts w:ascii="Calibri" w:hAnsi="Calibri" w:cs="Arial"/>
          <w:sz w:val="22"/>
          <w:szCs w:val="22"/>
        </w:rPr>
      </w:pPr>
    </w:p>
    <w:p w14:paraId="6E42401A" w14:textId="72CCCB4D"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sz w:val="22"/>
          <w:szCs w:val="22"/>
        </w:rPr>
        <w:t xml:space="preserve">Rispetto al precedente testo del 22 maggio </w:t>
      </w:r>
      <w:r w:rsidR="00A36313" w:rsidRPr="00E43A23">
        <w:rPr>
          <w:rFonts w:ascii="Calibri" w:hAnsi="Calibri" w:cs="Arial"/>
          <w:sz w:val="22"/>
          <w:szCs w:val="22"/>
        </w:rPr>
        <w:t>scorso,</w:t>
      </w:r>
      <w:r w:rsidRPr="00E43A23">
        <w:rPr>
          <w:rFonts w:ascii="Calibri" w:hAnsi="Calibri" w:cs="Arial"/>
          <w:sz w:val="22"/>
          <w:szCs w:val="22"/>
        </w:rPr>
        <w:t xml:space="preserve"> si evidenziano</w:t>
      </w:r>
      <w:r w:rsidR="00A36313" w:rsidRPr="00E43A23">
        <w:rPr>
          <w:rFonts w:ascii="Calibri" w:hAnsi="Calibri" w:cs="Arial"/>
          <w:sz w:val="22"/>
          <w:szCs w:val="22"/>
        </w:rPr>
        <w:t xml:space="preserve"> </w:t>
      </w:r>
      <w:r w:rsidRPr="00E43A23">
        <w:rPr>
          <w:rFonts w:ascii="Calibri" w:hAnsi="Calibri" w:cs="Arial"/>
          <w:sz w:val="22"/>
          <w:szCs w:val="22"/>
        </w:rPr>
        <w:t>le seguenti integrazioni:</w:t>
      </w:r>
    </w:p>
    <w:p w14:paraId="7EA2256B" w14:textId="77777777" w:rsidR="000703BF" w:rsidRPr="00E43A23" w:rsidRDefault="000703BF" w:rsidP="000703BF">
      <w:pPr>
        <w:autoSpaceDE w:val="0"/>
        <w:autoSpaceDN w:val="0"/>
        <w:adjustRightInd w:val="0"/>
        <w:jc w:val="both"/>
        <w:rPr>
          <w:rFonts w:ascii="Calibri" w:hAnsi="Calibri" w:cs="Arial"/>
          <w:sz w:val="22"/>
          <w:szCs w:val="22"/>
        </w:rPr>
      </w:pPr>
    </w:p>
    <w:p w14:paraId="2D82835E" w14:textId="77777777"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b/>
          <w:bCs/>
          <w:sz w:val="22"/>
          <w:szCs w:val="22"/>
        </w:rPr>
        <w:t xml:space="preserve">NOLEGGIO VEICOLI E ALTRE ATTREZZATURE </w:t>
      </w:r>
      <w:r w:rsidRPr="00E43A23">
        <w:rPr>
          <w:rFonts w:ascii="Calibri" w:hAnsi="Calibri" w:cs="Arial"/>
          <w:sz w:val="22"/>
          <w:szCs w:val="22"/>
        </w:rPr>
        <w:t>(pag. 22)</w:t>
      </w:r>
    </w:p>
    <w:p w14:paraId="02F66C9E" w14:textId="77777777"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sz w:val="22"/>
          <w:szCs w:val="22"/>
        </w:rPr>
        <w:t xml:space="preserve">In merito ai servizi di noleggio, pubblici e privati, è stabilito che negli uffici/locali/aree all’aperto, devono essere messi a disposizione </w:t>
      </w:r>
      <w:r w:rsidRPr="00E43A23">
        <w:rPr>
          <w:rFonts w:ascii="Calibri" w:hAnsi="Calibri" w:cs="Arial"/>
          <w:b/>
          <w:bCs/>
          <w:sz w:val="22"/>
          <w:szCs w:val="22"/>
        </w:rPr>
        <w:t xml:space="preserve">prodotti igienizzanti </w:t>
      </w:r>
      <w:r w:rsidRPr="00E43A23">
        <w:rPr>
          <w:rFonts w:ascii="Calibri" w:hAnsi="Calibri" w:cs="Arial"/>
          <w:sz w:val="22"/>
          <w:szCs w:val="22"/>
        </w:rPr>
        <w:t>(anziché soluzioni idroalcoliche) per l’igiene delle mani degli utenti.</w:t>
      </w:r>
    </w:p>
    <w:p w14:paraId="42B1971B" w14:textId="77777777" w:rsidR="000703BF" w:rsidRPr="00E43A23" w:rsidRDefault="000703BF" w:rsidP="000703BF">
      <w:pPr>
        <w:autoSpaceDE w:val="0"/>
        <w:autoSpaceDN w:val="0"/>
        <w:adjustRightInd w:val="0"/>
        <w:jc w:val="both"/>
        <w:rPr>
          <w:rFonts w:ascii="Calibri" w:hAnsi="Calibri" w:cs="Arial"/>
          <w:sz w:val="22"/>
          <w:szCs w:val="22"/>
        </w:rPr>
      </w:pPr>
    </w:p>
    <w:p w14:paraId="31FEB902" w14:textId="77777777"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sz w:val="22"/>
          <w:szCs w:val="22"/>
        </w:rPr>
        <w:t>Con riferimento specifico al “Noleggio di mezzi di trasporto”, per il servizio di bike sharing e di car sharing dovrà essere garantita solo l’igienizzazione delle mani dei clienti (viene eliminata la previsione dell’utilizzo di guanti monouso e mascherina).</w:t>
      </w:r>
    </w:p>
    <w:p w14:paraId="140C562C" w14:textId="77777777" w:rsidR="000703BF" w:rsidRPr="00E43A23" w:rsidRDefault="000703BF" w:rsidP="000703BF">
      <w:pPr>
        <w:autoSpaceDE w:val="0"/>
        <w:autoSpaceDN w:val="0"/>
        <w:adjustRightInd w:val="0"/>
        <w:jc w:val="both"/>
        <w:rPr>
          <w:rFonts w:ascii="Calibri" w:hAnsi="Calibri" w:cs="Arial"/>
          <w:sz w:val="22"/>
          <w:szCs w:val="22"/>
        </w:rPr>
      </w:pPr>
    </w:p>
    <w:p w14:paraId="5583B698" w14:textId="5712A06E"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sz w:val="22"/>
          <w:szCs w:val="22"/>
        </w:rPr>
        <w:t>Con riguardo al “Noleggio di altre attrezzature” si rileva, invece, che le disposizioni sono invariate. In particolare, resta fermo che tutte le attrezzature devono essere pulite e disinfettate dopo ogni restituzione da parte del noleggiatore; qualora ciò non fosse possibile senza danno, l’utente dovrà essere informato che</w:t>
      </w:r>
      <w:r w:rsidR="0013536D" w:rsidRPr="00E43A23">
        <w:rPr>
          <w:rFonts w:ascii="Calibri" w:hAnsi="Calibri" w:cs="Arial"/>
          <w:sz w:val="22"/>
          <w:szCs w:val="22"/>
        </w:rPr>
        <w:t xml:space="preserve"> </w:t>
      </w:r>
      <w:r w:rsidRPr="00E43A23">
        <w:rPr>
          <w:rFonts w:ascii="Calibri" w:hAnsi="Calibri" w:cs="Arial"/>
          <w:sz w:val="22"/>
          <w:szCs w:val="22"/>
        </w:rPr>
        <w:t>l’utilizzo delle stesse è possibile solo indossando guanti e mascherina.</w:t>
      </w:r>
    </w:p>
    <w:p w14:paraId="3900BED5" w14:textId="77777777" w:rsidR="000703BF" w:rsidRPr="00E43A23" w:rsidRDefault="000703BF" w:rsidP="000703BF">
      <w:pPr>
        <w:autoSpaceDE w:val="0"/>
        <w:autoSpaceDN w:val="0"/>
        <w:adjustRightInd w:val="0"/>
        <w:jc w:val="both"/>
        <w:rPr>
          <w:rFonts w:ascii="Calibri" w:hAnsi="Calibri" w:cs="Arial"/>
          <w:sz w:val="22"/>
          <w:szCs w:val="22"/>
        </w:rPr>
      </w:pPr>
    </w:p>
    <w:p w14:paraId="6CA5D482" w14:textId="77777777"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b/>
          <w:bCs/>
          <w:sz w:val="22"/>
          <w:szCs w:val="22"/>
        </w:rPr>
        <w:t xml:space="preserve">FORMAZIONE PROFESSIONALE </w:t>
      </w:r>
      <w:r w:rsidRPr="00E43A23">
        <w:rPr>
          <w:rFonts w:ascii="Calibri" w:hAnsi="Calibri" w:cs="Arial"/>
          <w:sz w:val="22"/>
          <w:szCs w:val="22"/>
        </w:rPr>
        <w:t>(pag. 29)</w:t>
      </w:r>
    </w:p>
    <w:p w14:paraId="30D664FB" w14:textId="77777777" w:rsidR="000703BF" w:rsidRPr="00E43A23" w:rsidRDefault="000703BF" w:rsidP="000703BF">
      <w:pPr>
        <w:autoSpaceDE w:val="0"/>
        <w:autoSpaceDN w:val="0"/>
        <w:adjustRightInd w:val="0"/>
        <w:jc w:val="both"/>
        <w:rPr>
          <w:rFonts w:ascii="Calibri" w:hAnsi="Calibri" w:cs="Arial"/>
          <w:b/>
          <w:bCs/>
          <w:sz w:val="22"/>
          <w:szCs w:val="22"/>
        </w:rPr>
      </w:pPr>
      <w:r w:rsidRPr="00E43A23">
        <w:rPr>
          <w:rFonts w:ascii="Calibri" w:hAnsi="Calibri" w:cs="Arial"/>
          <w:sz w:val="22"/>
          <w:szCs w:val="22"/>
        </w:rPr>
        <w:t xml:space="preserve">L’elenco delle attività formative da realizzare nei diversi contesti (aula, laboratori e imprese), cui sono applicabili le indicazioni delle Linee guida, è specificatamente integrato con la menzione dei </w:t>
      </w:r>
      <w:r w:rsidRPr="00E43A23">
        <w:rPr>
          <w:rFonts w:ascii="Calibri" w:hAnsi="Calibri" w:cs="Arial"/>
          <w:b/>
          <w:bCs/>
          <w:sz w:val="22"/>
          <w:szCs w:val="22"/>
        </w:rPr>
        <w:t>percorsi formativi in materia di tutela della salute e sicurezza nei luoghi di lavoro ai sensi del d.lgs. 81/2008.</w:t>
      </w:r>
    </w:p>
    <w:p w14:paraId="2BECBE70" w14:textId="77777777" w:rsidR="000703BF" w:rsidRPr="00E43A23" w:rsidRDefault="000703BF" w:rsidP="000703BF">
      <w:pPr>
        <w:autoSpaceDE w:val="0"/>
        <w:autoSpaceDN w:val="0"/>
        <w:adjustRightInd w:val="0"/>
        <w:jc w:val="both"/>
        <w:rPr>
          <w:rFonts w:ascii="Calibri" w:hAnsi="Calibri" w:cs="Arial"/>
          <w:b/>
          <w:bCs/>
          <w:sz w:val="22"/>
          <w:szCs w:val="22"/>
        </w:rPr>
      </w:pPr>
    </w:p>
    <w:p w14:paraId="34528C94" w14:textId="77777777"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sz w:val="22"/>
          <w:szCs w:val="22"/>
        </w:rPr>
        <w:t xml:space="preserve">Per l’igiene delle mani per utenti e personale anche in più punti degli spazi dedicati all’attività, in particolare all’entrata e in prossimità dei servizi igienici, dovranno essere resi disponibili </w:t>
      </w:r>
      <w:r w:rsidRPr="00E43A23">
        <w:rPr>
          <w:rFonts w:ascii="Calibri" w:hAnsi="Calibri" w:cs="Arial"/>
          <w:b/>
          <w:bCs/>
          <w:sz w:val="22"/>
          <w:szCs w:val="22"/>
        </w:rPr>
        <w:t xml:space="preserve">prodotti igienizzanti </w:t>
      </w:r>
      <w:r w:rsidRPr="00E43A23">
        <w:rPr>
          <w:rFonts w:ascii="Calibri" w:hAnsi="Calibri" w:cs="Arial"/>
          <w:sz w:val="22"/>
          <w:szCs w:val="22"/>
        </w:rPr>
        <w:t xml:space="preserve">(anziché soluzioni idroalcoliche). L’utilizzo di </w:t>
      </w:r>
      <w:r w:rsidRPr="00E43A23">
        <w:rPr>
          <w:rFonts w:ascii="Calibri" w:hAnsi="Calibri" w:cs="Arial"/>
          <w:b/>
          <w:bCs/>
          <w:sz w:val="22"/>
          <w:szCs w:val="22"/>
        </w:rPr>
        <w:t xml:space="preserve">prodotti igienizzanti </w:t>
      </w:r>
      <w:r w:rsidRPr="00E43A23">
        <w:rPr>
          <w:rFonts w:ascii="Calibri" w:hAnsi="Calibri" w:cs="Arial"/>
          <w:sz w:val="22"/>
          <w:szCs w:val="22"/>
        </w:rPr>
        <w:t>per la frequente igiene delle mani, oltre all’uso della mascherina a protezione delle vie respiratorie, è ribadito per tutti gli utenti (docenti, discenti, tutor d’aula ecc.) anche in un punto successivo, considerata la condivisione prolungata del medesimo ambiente.</w:t>
      </w:r>
    </w:p>
    <w:p w14:paraId="5DE7E4F4" w14:textId="77777777" w:rsidR="000703BF" w:rsidRPr="00E43A23" w:rsidRDefault="000703BF" w:rsidP="000703BF">
      <w:pPr>
        <w:autoSpaceDE w:val="0"/>
        <w:autoSpaceDN w:val="0"/>
        <w:adjustRightInd w:val="0"/>
        <w:jc w:val="both"/>
        <w:rPr>
          <w:rFonts w:ascii="Calibri" w:hAnsi="Calibri" w:cs="Arial"/>
          <w:sz w:val="22"/>
          <w:szCs w:val="22"/>
        </w:rPr>
      </w:pPr>
    </w:p>
    <w:p w14:paraId="244740A8" w14:textId="77777777" w:rsidR="000703BF" w:rsidRPr="00E43A23" w:rsidRDefault="000703BF" w:rsidP="000703BF">
      <w:pPr>
        <w:autoSpaceDE w:val="0"/>
        <w:autoSpaceDN w:val="0"/>
        <w:adjustRightInd w:val="0"/>
        <w:jc w:val="both"/>
        <w:rPr>
          <w:rFonts w:ascii="Calibri" w:hAnsi="Calibri" w:cs="Arial"/>
          <w:b/>
          <w:bCs/>
          <w:sz w:val="22"/>
          <w:szCs w:val="22"/>
        </w:rPr>
      </w:pPr>
      <w:r w:rsidRPr="00E43A23">
        <w:rPr>
          <w:rFonts w:ascii="Calibri" w:hAnsi="Calibri" w:cs="Arial"/>
          <w:sz w:val="22"/>
          <w:szCs w:val="22"/>
        </w:rPr>
        <w:t xml:space="preserve">In ordine al ricambio d’aria negli ambienti interni, viene stabilito che </w:t>
      </w:r>
      <w:r w:rsidRPr="00E43A23">
        <w:rPr>
          <w:rFonts w:ascii="Calibri" w:hAnsi="Calibri" w:cs="Arial"/>
          <w:b/>
          <w:bCs/>
          <w:sz w:val="22"/>
          <w:szCs w:val="22"/>
        </w:rPr>
        <w:t xml:space="preserve">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w:t>
      </w:r>
      <w:r w:rsidRPr="00E43A23">
        <w:rPr>
          <w:rFonts w:ascii="Calibri" w:hAnsi="Calibri" w:cs="Arial"/>
          <w:sz w:val="22"/>
          <w:szCs w:val="22"/>
        </w:rPr>
        <w:t xml:space="preserve">Per gli impianti di condizionamento, è obbligatorio, se tecnicamente possibile, escludere totalmente la funzione di ricircolo dell’aria. </w:t>
      </w:r>
      <w:r w:rsidRPr="00E43A23">
        <w:rPr>
          <w:rFonts w:ascii="Calibri" w:hAnsi="Calibri" w:cs="Arial"/>
          <w:b/>
          <w:bCs/>
          <w:sz w:val="22"/>
          <w:szCs w:val="22"/>
        </w:rPr>
        <w:t xml:space="preserve">In ogni caso </w:t>
      </w:r>
      <w:r w:rsidRPr="00E43A23">
        <w:rPr>
          <w:rFonts w:ascii="Calibri" w:hAnsi="Calibri" w:cs="Arial"/>
          <w:sz w:val="22"/>
          <w:szCs w:val="22"/>
        </w:rPr>
        <w:t xml:space="preserve">vanno rafforzate ulteriormente le misure per il ricambio d’aria naturale e/o attraverso l’impianto, e va garantita la pulizia, ad impianto fermo, dei filtri dell’aria di ricircolo per mantenere i livelli di filtrazione/rimozione adeguati. </w:t>
      </w:r>
      <w:r w:rsidRPr="00E43A23">
        <w:rPr>
          <w:rFonts w:ascii="Calibri" w:hAnsi="Calibri" w:cs="Arial"/>
          <w:b/>
          <w:bCs/>
          <w:sz w:val="22"/>
          <w:szCs w:val="22"/>
        </w:rPr>
        <w:t>Se tecnicamente possibile, va aumentata la capacità filtrante del ricircolo, sostituendo i filtri esistenti con filtri di classe superiore, garantendo il mantenimento delle portate. Nei servizi igienici va mantenuto in funzione continuata l’estrattore d’aria.</w:t>
      </w:r>
    </w:p>
    <w:p w14:paraId="5C88229B" w14:textId="77777777" w:rsidR="000703BF" w:rsidRPr="00E43A23" w:rsidRDefault="000703BF" w:rsidP="000703BF">
      <w:pPr>
        <w:autoSpaceDE w:val="0"/>
        <w:autoSpaceDN w:val="0"/>
        <w:adjustRightInd w:val="0"/>
        <w:jc w:val="both"/>
        <w:rPr>
          <w:rFonts w:ascii="Calibri" w:hAnsi="Calibri" w:cs="Arial"/>
          <w:b/>
          <w:bCs/>
          <w:sz w:val="22"/>
          <w:szCs w:val="22"/>
        </w:rPr>
      </w:pPr>
    </w:p>
    <w:p w14:paraId="6DA46946" w14:textId="77777777"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b/>
          <w:bCs/>
          <w:sz w:val="22"/>
          <w:szCs w:val="22"/>
        </w:rPr>
        <w:t xml:space="preserve">CONGRESSI E GRANDI EVENTI FIERISTICI </w:t>
      </w:r>
      <w:r w:rsidRPr="00E43A23">
        <w:rPr>
          <w:rFonts w:ascii="Calibri" w:hAnsi="Calibri" w:cs="Arial"/>
          <w:sz w:val="22"/>
          <w:szCs w:val="22"/>
        </w:rPr>
        <w:t>(pag. 45)</w:t>
      </w:r>
    </w:p>
    <w:p w14:paraId="3DBA33E4" w14:textId="77777777" w:rsidR="000703BF" w:rsidRPr="00E43A23" w:rsidRDefault="000703BF" w:rsidP="000703BF">
      <w:pPr>
        <w:autoSpaceDE w:val="0"/>
        <w:autoSpaceDN w:val="0"/>
        <w:adjustRightInd w:val="0"/>
        <w:jc w:val="both"/>
        <w:rPr>
          <w:rFonts w:ascii="Calibri" w:hAnsi="Calibri" w:cs="Arial"/>
          <w:b/>
          <w:bCs/>
          <w:sz w:val="22"/>
          <w:szCs w:val="22"/>
        </w:rPr>
      </w:pPr>
      <w:r w:rsidRPr="00E43A23">
        <w:rPr>
          <w:rFonts w:ascii="Calibri" w:hAnsi="Calibri" w:cs="Arial"/>
          <w:sz w:val="22"/>
          <w:szCs w:val="22"/>
        </w:rPr>
        <w:t xml:space="preserve">Un apposito paragrafo è dedicato a: </w:t>
      </w:r>
      <w:r w:rsidRPr="00E43A23">
        <w:rPr>
          <w:rFonts w:ascii="Calibri" w:hAnsi="Calibri" w:cs="Arial"/>
          <w:b/>
          <w:bCs/>
          <w:sz w:val="22"/>
          <w:szCs w:val="22"/>
        </w:rPr>
        <w:t>convegni, congressi, grandi eventi fieristici, convention aziendali ed eventi ad essi assimilabili.</w:t>
      </w:r>
    </w:p>
    <w:p w14:paraId="2B659509" w14:textId="77777777" w:rsidR="000703BF" w:rsidRPr="00E43A23" w:rsidRDefault="000703BF" w:rsidP="000703BF">
      <w:pPr>
        <w:autoSpaceDE w:val="0"/>
        <w:autoSpaceDN w:val="0"/>
        <w:adjustRightInd w:val="0"/>
        <w:jc w:val="both"/>
        <w:rPr>
          <w:rFonts w:ascii="Calibri" w:hAnsi="Calibri" w:cs="Arial"/>
          <w:b/>
          <w:bCs/>
          <w:sz w:val="22"/>
          <w:szCs w:val="22"/>
        </w:rPr>
      </w:pPr>
    </w:p>
    <w:p w14:paraId="44A32978" w14:textId="649AC0B5" w:rsidR="000703BF" w:rsidRPr="00E43A23" w:rsidRDefault="000703BF" w:rsidP="000703BF">
      <w:pPr>
        <w:autoSpaceDE w:val="0"/>
        <w:autoSpaceDN w:val="0"/>
        <w:adjustRightInd w:val="0"/>
        <w:jc w:val="both"/>
        <w:rPr>
          <w:rFonts w:ascii="Calibri" w:hAnsi="Calibri" w:cs="Arial"/>
          <w:sz w:val="22"/>
          <w:szCs w:val="22"/>
        </w:rPr>
      </w:pPr>
      <w:r w:rsidRPr="00E43A23">
        <w:rPr>
          <w:rFonts w:ascii="Calibri" w:hAnsi="Calibri" w:cs="Arial"/>
          <w:sz w:val="22"/>
          <w:szCs w:val="22"/>
        </w:rPr>
        <w:t xml:space="preserve">Le relative indicazioni, che vanno integrate in funzione dello specifico contesto con quelle inerenti la ristorazione (con particolare riferimento alle modalità di somministrazione a buffet), </w:t>
      </w:r>
      <w:r w:rsidR="00A36313" w:rsidRPr="00E43A23">
        <w:rPr>
          <w:rFonts w:ascii="Calibri" w:hAnsi="Calibri" w:cs="Arial"/>
          <w:sz w:val="22"/>
          <w:szCs w:val="22"/>
        </w:rPr>
        <w:t>riguardano</w:t>
      </w:r>
      <w:r w:rsidRPr="00E43A23">
        <w:rPr>
          <w:rFonts w:ascii="Calibri" w:hAnsi="Calibri" w:cs="Arial"/>
          <w:sz w:val="22"/>
          <w:szCs w:val="22"/>
        </w:rPr>
        <w:t>, in sintesi, il</w:t>
      </w:r>
      <w:r w:rsidR="0013536D" w:rsidRPr="00E43A23">
        <w:rPr>
          <w:rFonts w:ascii="Calibri" w:hAnsi="Calibri" w:cs="Arial"/>
          <w:sz w:val="22"/>
          <w:szCs w:val="22"/>
        </w:rPr>
        <w:t xml:space="preserve"> </w:t>
      </w:r>
      <w:r w:rsidRPr="00E43A23">
        <w:rPr>
          <w:rFonts w:ascii="Calibri" w:hAnsi="Calibri" w:cs="Arial"/>
          <w:sz w:val="22"/>
          <w:szCs w:val="22"/>
        </w:rPr>
        <w:t>numero massimo dei partecipanti all’evento, la riorganizzazione degli spazi, l’adeguata informazione sulle misure di prevenzione, l’utilizzo di tecnologie digitali, la rilevazione della temperatura corporea, il guardaroba, il distanziamento interpersonale, la disinfezione/protezione dei dispositivi e delle attrezzature a disposizione di relatori, moderatori e uditori, l’uso della mascherina e l’igiene delle mani, la disponibilità di eventuali materiali informativi e scientifici, la pulizia e la disinfezione degli ambienti, il ricambio d’aria.</w:t>
      </w:r>
    </w:p>
    <w:p w14:paraId="49491396" w14:textId="77777777" w:rsidR="000703BF" w:rsidRPr="00E43A23" w:rsidRDefault="000703BF" w:rsidP="000703BF">
      <w:pPr>
        <w:jc w:val="both"/>
        <w:rPr>
          <w:rFonts w:ascii="Calibri" w:hAnsi="Calibri" w:cs="Arial"/>
          <w:color w:val="000000"/>
          <w:sz w:val="22"/>
          <w:szCs w:val="22"/>
        </w:rPr>
      </w:pPr>
    </w:p>
    <w:p w14:paraId="543E2009" w14:textId="7081F1F5" w:rsidR="004C6703" w:rsidRPr="00E43A23" w:rsidRDefault="004C6703" w:rsidP="000703BF">
      <w:pPr>
        <w:jc w:val="both"/>
        <w:rPr>
          <w:rFonts w:ascii="Calibri" w:hAnsi="Calibri" w:cs="Arial"/>
          <w:color w:val="000000"/>
          <w:sz w:val="22"/>
          <w:szCs w:val="22"/>
        </w:rPr>
      </w:pPr>
    </w:p>
    <w:p w14:paraId="442C2DCD" w14:textId="6DE5FD97" w:rsidR="000703BF" w:rsidRPr="00E43A23" w:rsidRDefault="000703BF" w:rsidP="000703BF">
      <w:pPr>
        <w:jc w:val="both"/>
        <w:rPr>
          <w:rFonts w:ascii="Calibri" w:hAnsi="Calibri" w:cs="Arial"/>
          <w:color w:val="000000"/>
          <w:sz w:val="22"/>
          <w:szCs w:val="22"/>
        </w:rPr>
      </w:pPr>
    </w:p>
    <w:p w14:paraId="2B3E8E2E" w14:textId="19E14C29" w:rsidR="000703BF" w:rsidRPr="00E43A23" w:rsidRDefault="000703BF" w:rsidP="000703BF">
      <w:pPr>
        <w:jc w:val="both"/>
        <w:rPr>
          <w:rFonts w:ascii="Calibri" w:hAnsi="Calibri" w:cs="Arial"/>
          <w:color w:val="000000"/>
          <w:sz w:val="22"/>
          <w:szCs w:val="22"/>
        </w:rPr>
      </w:pPr>
    </w:p>
    <w:p w14:paraId="73338560" w14:textId="77777777" w:rsidR="000703BF" w:rsidRPr="00E43A23" w:rsidRDefault="000703BF" w:rsidP="000703BF">
      <w:pPr>
        <w:jc w:val="both"/>
        <w:rPr>
          <w:rFonts w:ascii="Calibri" w:hAnsi="Calibri" w:cs="Arial"/>
          <w:color w:val="000000"/>
          <w:sz w:val="22"/>
          <w:szCs w:val="22"/>
        </w:rPr>
      </w:pPr>
    </w:p>
    <w:p w14:paraId="19C0414C" w14:textId="6EEFD377" w:rsidR="00371573" w:rsidRPr="00E43A23" w:rsidRDefault="00371573" w:rsidP="00646791">
      <w:pPr>
        <w:jc w:val="both"/>
        <w:rPr>
          <w:rFonts w:ascii="Calibri" w:hAnsi="Calibri" w:cs="Arial"/>
          <w:color w:val="000000"/>
          <w:sz w:val="22"/>
          <w:szCs w:val="22"/>
        </w:rPr>
      </w:pPr>
    </w:p>
    <w:p w14:paraId="01907817" w14:textId="1E5BC793" w:rsidR="0013536D" w:rsidRPr="00E43A23" w:rsidRDefault="0013536D" w:rsidP="00646791">
      <w:pPr>
        <w:jc w:val="both"/>
        <w:rPr>
          <w:rFonts w:ascii="Calibri" w:hAnsi="Calibri" w:cs="Arial"/>
          <w:color w:val="000000"/>
          <w:sz w:val="22"/>
          <w:szCs w:val="22"/>
        </w:rPr>
      </w:pPr>
    </w:p>
    <w:p w14:paraId="4204153D" w14:textId="77777777" w:rsidR="0013536D" w:rsidRPr="00E43A23" w:rsidRDefault="0013536D" w:rsidP="00646791">
      <w:pPr>
        <w:jc w:val="both"/>
        <w:rPr>
          <w:rFonts w:ascii="Calibri" w:hAnsi="Calibri" w:cs="Arial"/>
          <w:color w:val="000000"/>
          <w:sz w:val="22"/>
          <w:szCs w:val="22"/>
        </w:rPr>
      </w:pPr>
    </w:p>
    <w:p w14:paraId="559C0EBE" w14:textId="77777777" w:rsidR="006411DF" w:rsidRPr="00E43A23" w:rsidRDefault="006411DF" w:rsidP="00646791">
      <w:pPr>
        <w:pStyle w:val="NormaleWeb"/>
        <w:jc w:val="both"/>
        <w:rPr>
          <w:rStyle w:val="Enfasigrassetto"/>
          <w:rFonts w:ascii="Calibri" w:hAnsi="Calibri"/>
          <w:sz w:val="22"/>
          <w:szCs w:val="22"/>
        </w:rPr>
      </w:pPr>
      <w:r w:rsidRPr="00E43A23">
        <w:rPr>
          <w:rStyle w:val="Enfasigrassetto"/>
          <w:rFonts w:ascii="Calibri" w:hAnsi="Calibri"/>
          <w:sz w:val="22"/>
          <w:szCs w:val="22"/>
        </w:rPr>
        <w:t>Riferimenti:</w:t>
      </w:r>
    </w:p>
    <w:p w14:paraId="5EEE77D9" w14:textId="77777777" w:rsidR="006411DF" w:rsidRPr="00E43A23" w:rsidRDefault="006411DF" w:rsidP="00646791">
      <w:pPr>
        <w:pStyle w:val="NormaleWeb"/>
        <w:jc w:val="both"/>
        <w:rPr>
          <w:rFonts w:ascii="Calibri" w:hAnsi="Calibri"/>
          <w:sz w:val="22"/>
          <w:szCs w:val="22"/>
        </w:rPr>
      </w:pPr>
      <w:r w:rsidRPr="00E43A23">
        <w:rPr>
          <w:rFonts w:ascii="Calibri" w:hAnsi="Calibri"/>
          <w:sz w:val="22"/>
          <w:szCs w:val="22"/>
        </w:rPr>
        <w:t>ANCE UMBRIA</w:t>
      </w:r>
    </w:p>
    <w:p w14:paraId="7D78A98D" w14:textId="6B907D09" w:rsidR="006411DF" w:rsidRPr="00E43A23" w:rsidRDefault="006411DF" w:rsidP="00646791">
      <w:pPr>
        <w:pStyle w:val="NormaleWeb"/>
        <w:jc w:val="both"/>
        <w:rPr>
          <w:rFonts w:ascii="Calibri" w:hAnsi="Calibri"/>
          <w:sz w:val="22"/>
          <w:szCs w:val="22"/>
        </w:rPr>
      </w:pPr>
      <w:r w:rsidRPr="00E43A23">
        <w:rPr>
          <w:rFonts w:ascii="Calibri" w:hAnsi="Calibri"/>
          <w:sz w:val="22"/>
          <w:szCs w:val="22"/>
        </w:rPr>
        <w:t xml:space="preserve">Perugia – </w:t>
      </w:r>
      <w:hyperlink r:id="rId7" w:history="1">
        <w:r w:rsidRPr="00E43A23">
          <w:rPr>
            <w:rStyle w:val="Collegamentoipertestuale"/>
            <w:rFonts w:ascii="Calibri" w:hAnsi="Calibri"/>
            <w:sz w:val="22"/>
            <w:szCs w:val="22"/>
          </w:rPr>
          <w:t>info@anceumbria.it</w:t>
        </w:r>
      </w:hyperlink>
      <w:r w:rsidRPr="00E43A23">
        <w:rPr>
          <w:rFonts w:ascii="Calibri" w:hAnsi="Calibri"/>
          <w:sz w:val="22"/>
          <w:szCs w:val="22"/>
        </w:rPr>
        <w:t xml:space="preserve"> - Tel. 075/582751</w:t>
      </w:r>
    </w:p>
    <w:p w14:paraId="190D91BE" w14:textId="469279D8" w:rsidR="006411DF" w:rsidRPr="00E43A23" w:rsidRDefault="006411DF" w:rsidP="00646791">
      <w:pPr>
        <w:pStyle w:val="NormaleWeb"/>
        <w:jc w:val="both"/>
        <w:rPr>
          <w:rFonts w:ascii="Calibri" w:hAnsi="Calibri"/>
          <w:sz w:val="22"/>
          <w:szCs w:val="22"/>
        </w:rPr>
      </w:pPr>
      <w:r w:rsidRPr="00E43A23">
        <w:rPr>
          <w:rFonts w:ascii="Calibri" w:hAnsi="Calibri"/>
          <w:sz w:val="22"/>
          <w:szCs w:val="22"/>
        </w:rPr>
        <w:t xml:space="preserve">Terni - </w:t>
      </w:r>
      <w:hyperlink r:id="rId8" w:history="1">
        <w:r w:rsidRPr="00E43A23">
          <w:rPr>
            <w:rStyle w:val="Collegamentoipertestuale"/>
            <w:rFonts w:ascii="Calibri" w:hAnsi="Calibri"/>
            <w:sz w:val="22"/>
            <w:szCs w:val="22"/>
          </w:rPr>
          <w:t>edilizia@confindustria.terni.it</w:t>
        </w:r>
      </w:hyperlink>
      <w:r w:rsidRPr="00E43A23">
        <w:rPr>
          <w:rFonts w:ascii="Calibri" w:hAnsi="Calibri"/>
          <w:sz w:val="22"/>
          <w:szCs w:val="22"/>
        </w:rPr>
        <w:t xml:space="preserve"> - Tel. 0744/443411</w:t>
      </w:r>
    </w:p>
    <w:p w14:paraId="389CE1E4" w14:textId="7F95CC6F" w:rsidR="005A6420" w:rsidRPr="00E43A23" w:rsidRDefault="005A6420"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30D0B7A2" w14:textId="52219EB0" w:rsidR="00371573" w:rsidRPr="00E43A23"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6ED1A1CC" w14:textId="7B390378" w:rsidR="00371573" w:rsidRPr="00E43A23"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5547163E" w14:textId="232D27E9" w:rsidR="00371573" w:rsidRPr="00E43A23"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1660D1E4" w14:textId="77777777" w:rsidR="00371573" w:rsidRPr="00E43A23" w:rsidRDefault="00371573" w:rsidP="00646791">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470E1B41" w:rsidR="00783E6E" w:rsidRPr="00E43A23" w:rsidRDefault="00952E48" w:rsidP="00646791">
      <w:pPr>
        <w:tabs>
          <w:tab w:val="left" w:pos="720"/>
          <w:tab w:val="left" w:pos="900"/>
          <w:tab w:val="left" w:pos="1260"/>
          <w:tab w:val="left" w:pos="5580"/>
          <w:tab w:val="left" w:pos="6120"/>
        </w:tabs>
        <w:ind w:left="142" w:right="-2"/>
        <w:jc w:val="right"/>
        <w:rPr>
          <w:rFonts w:ascii="Calibri" w:hAnsi="Calibri" w:cs="Calibri"/>
          <w:sz w:val="22"/>
          <w:szCs w:val="22"/>
        </w:rPr>
      </w:pPr>
      <w:r w:rsidRPr="00E43A23">
        <w:rPr>
          <w:rFonts w:ascii="Calibri" w:hAnsi="Calibri" w:cs="Calibri"/>
          <w:sz w:val="22"/>
          <w:szCs w:val="22"/>
        </w:rPr>
        <w:t xml:space="preserve">Pubblicato il </w:t>
      </w:r>
      <w:r w:rsidR="004C6703" w:rsidRPr="00E43A23">
        <w:rPr>
          <w:rFonts w:ascii="Calibri" w:hAnsi="Calibri" w:cs="Calibri"/>
          <w:sz w:val="22"/>
          <w:szCs w:val="22"/>
        </w:rPr>
        <w:t>1</w:t>
      </w:r>
      <w:r w:rsidR="00462395" w:rsidRPr="00E43A23">
        <w:rPr>
          <w:rFonts w:ascii="Calibri" w:hAnsi="Calibri" w:cs="Calibri"/>
          <w:sz w:val="22"/>
          <w:szCs w:val="22"/>
        </w:rPr>
        <w:t>2</w:t>
      </w:r>
      <w:r w:rsidR="005D26BF" w:rsidRPr="00E43A23">
        <w:rPr>
          <w:rFonts w:ascii="Calibri" w:hAnsi="Calibri" w:cs="Calibri"/>
          <w:sz w:val="22"/>
          <w:szCs w:val="22"/>
        </w:rPr>
        <w:t>/06</w:t>
      </w:r>
      <w:r w:rsidR="00297F87" w:rsidRPr="00E43A23">
        <w:rPr>
          <w:rFonts w:ascii="Calibri" w:hAnsi="Calibri" w:cs="Calibri"/>
          <w:sz w:val="22"/>
          <w:szCs w:val="22"/>
        </w:rPr>
        <w:t>/2020</w:t>
      </w:r>
    </w:p>
    <w:sectPr w:rsidR="00783E6E" w:rsidRPr="00E43A23"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EEB09" w14:textId="77777777" w:rsidR="00E43A23" w:rsidRDefault="00E43A23">
      <w:r>
        <w:separator/>
      </w:r>
    </w:p>
  </w:endnote>
  <w:endnote w:type="continuationSeparator" w:id="0">
    <w:p w14:paraId="1ACC3028" w14:textId="77777777" w:rsidR="00E43A23" w:rsidRDefault="00E4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06C71" w14:textId="77777777" w:rsidR="00E43A23" w:rsidRDefault="00E43A23">
      <w:r>
        <w:separator/>
      </w:r>
    </w:p>
  </w:footnote>
  <w:footnote w:type="continuationSeparator" w:id="0">
    <w:p w14:paraId="34C38946" w14:textId="77777777" w:rsidR="00E43A23" w:rsidRDefault="00E4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E43A23">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35pt;height:39.25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7203A"/>
    <w:multiLevelType w:val="hybridMultilevel"/>
    <w:tmpl w:val="358ED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8727AF"/>
    <w:multiLevelType w:val="hybridMultilevel"/>
    <w:tmpl w:val="DEB67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23B63"/>
    <w:multiLevelType w:val="hybridMultilevel"/>
    <w:tmpl w:val="BF188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504BAA"/>
    <w:multiLevelType w:val="hybridMultilevel"/>
    <w:tmpl w:val="6CAA40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6A6694"/>
    <w:multiLevelType w:val="hybridMultilevel"/>
    <w:tmpl w:val="7B863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8" w15:restartNumberingAfterBreak="0">
    <w:nsid w:val="361A540D"/>
    <w:multiLevelType w:val="hybridMultilevel"/>
    <w:tmpl w:val="00922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617F7"/>
    <w:multiLevelType w:val="hybridMultilevel"/>
    <w:tmpl w:val="3FB6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853962"/>
    <w:multiLevelType w:val="hybridMultilevel"/>
    <w:tmpl w:val="2ABE0F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C4A8C"/>
    <w:multiLevelType w:val="hybridMultilevel"/>
    <w:tmpl w:val="102E1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7111A0"/>
    <w:multiLevelType w:val="hybridMultilevel"/>
    <w:tmpl w:val="4B184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C10948"/>
    <w:multiLevelType w:val="hybridMultilevel"/>
    <w:tmpl w:val="89A64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A433CD"/>
    <w:multiLevelType w:val="hybridMultilevel"/>
    <w:tmpl w:val="C58E4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746BB4"/>
    <w:multiLevelType w:val="hybridMultilevel"/>
    <w:tmpl w:val="380EF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4315951"/>
    <w:multiLevelType w:val="hybridMultilevel"/>
    <w:tmpl w:val="06E61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9"/>
  </w:num>
  <w:num w:numId="5">
    <w:abstractNumId w:val="2"/>
  </w:num>
  <w:num w:numId="6">
    <w:abstractNumId w:val="10"/>
  </w:num>
  <w:num w:numId="7">
    <w:abstractNumId w:val="13"/>
  </w:num>
  <w:num w:numId="8">
    <w:abstractNumId w:val="27"/>
  </w:num>
  <w:num w:numId="9">
    <w:abstractNumId w:val="35"/>
  </w:num>
  <w:num w:numId="10">
    <w:abstractNumId w:val="26"/>
  </w:num>
  <w:num w:numId="11">
    <w:abstractNumId w:val="11"/>
  </w:num>
  <w:num w:numId="12">
    <w:abstractNumId w:val="24"/>
  </w:num>
  <w:num w:numId="13">
    <w:abstractNumId w:val="4"/>
  </w:num>
  <w:num w:numId="14">
    <w:abstractNumId w:val="7"/>
  </w:num>
  <w:num w:numId="15">
    <w:abstractNumId w:val="0"/>
  </w:num>
  <w:num w:numId="16">
    <w:abstractNumId w:val="3"/>
  </w:num>
  <w:num w:numId="17">
    <w:abstractNumId w:val="17"/>
  </w:num>
  <w:num w:numId="18">
    <w:abstractNumId w:val="1"/>
  </w:num>
  <w:num w:numId="19">
    <w:abstractNumId w:val="28"/>
  </w:num>
  <w:num w:numId="20">
    <w:abstractNumId w:val="19"/>
  </w:num>
  <w:num w:numId="21">
    <w:abstractNumId w:val="5"/>
  </w:num>
  <w:num w:numId="22">
    <w:abstractNumId w:val="34"/>
  </w:num>
  <w:num w:numId="23">
    <w:abstractNumId w:val="18"/>
  </w:num>
  <w:num w:numId="24">
    <w:abstractNumId w:val="16"/>
  </w:num>
  <w:num w:numId="25">
    <w:abstractNumId w:val="33"/>
  </w:num>
  <w:num w:numId="26">
    <w:abstractNumId w:val="31"/>
  </w:num>
  <w:num w:numId="27">
    <w:abstractNumId w:val="32"/>
  </w:num>
  <w:num w:numId="28">
    <w:abstractNumId w:val="25"/>
  </w:num>
  <w:num w:numId="29">
    <w:abstractNumId w:val="22"/>
  </w:num>
  <w:num w:numId="30">
    <w:abstractNumId w:val="12"/>
  </w:num>
  <w:num w:numId="31">
    <w:abstractNumId w:val="30"/>
  </w:num>
  <w:num w:numId="32">
    <w:abstractNumId w:val="6"/>
  </w:num>
  <w:num w:numId="33">
    <w:abstractNumId w:val="8"/>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703BF"/>
    <w:rsid w:val="000742BE"/>
    <w:rsid w:val="00080ADD"/>
    <w:rsid w:val="00087150"/>
    <w:rsid w:val="0009085F"/>
    <w:rsid w:val="000B06C6"/>
    <w:rsid w:val="000B2103"/>
    <w:rsid w:val="000C53BB"/>
    <w:rsid w:val="000D0123"/>
    <w:rsid w:val="000D36C6"/>
    <w:rsid w:val="000D4668"/>
    <w:rsid w:val="000D4ADA"/>
    <w:rsid w:val="000E38C9"/>
    <w:rsid w:val="000E6DB1"/>
    <w:rsid w:val="0010566D"/>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DFD"/>
    <w:rsid w:val="002B7EEB"/>
    <w:rsid w:val="002D246E"/>
    <w:rsid w:val="002D2B28"/>
    <w:rsid w:val="002E4047"/>
    <w:rsid w:val="002F44A9"/>
    <w:rsid w:val="00300CDB"/>
    <w:rsid w:val="00306EA7"/>
    <w:rsid w:val="003114C4"/>
    <w:rsid w:val="00322EE8"/>
    <w:rsid w:val="00326815"/>
    <w:rsid w:val="003347DC"/>
    <w:rsid w:val="0034265F"/>
    <w:rsid w:val="00363BF8"/>
    <w:rsid w:val="003646F3"/>
    <w:rsid w:val="00371573"/>
    <w:rsid w:val="00385BAE"/>
    <w:rsid w:val="003944BF"/>
    <w:rsid w:val="00395392"/>
    <w:rsid w:val="003A759E"/>
    <w:rsid w:val="003B6D95"/>
    <w:rsid w:val="003B7ED2"/>
    <w:rsid w:val="003C19FB"/>
    <w:rsid w:val="003E5874"/>
    <w:rsid w:val="003F1228"/>
    <w:rsid w:val="0041047E"/>
    <w:rsid w:val="0041177C"/>
    <w:rsid w:val="0042052A"/>
    <w:rsid w:val="004353E3"/>
    <w:rsid w:val="004435C3"/>
    <w:rsid w:val="00454209"/>
    <w:rsid w:val="00462395"/>
    <w:rsid w:val="00465747"/>
    <w:rsid w:val="00472D2B"/>
    <w:rsid w:val="00474ADE"/>
    <w:rsid w:val="00483E55"/>
    <w:rsid w:val="004A43B9"/>
    <w:rsid w:val="004A5095"/>
    <w:rsid w:val="004B0EF1"/>
    <w:rsid w:val="004B5C7B"/>
    <w:rsid w:val="004B691C"/>
    <w:rsid w:val="004C1CE6"/>
    <w:rsid w:val="004C2CC8"/>
    <w:rsid w:val="004C6703"/>
    <w:rsid w:val="004D48E8"/>
    <w:rsid w:val="004D4957"/>
    <w:rsid w:val="004E0C94"/>
    <w:rsid w:val="004E3922"/>
    <w:rsid w:val="004E62C8"/>
    <w:rsid w:val="004F2D22"/>
    <w:rsid w:val="00517FCD"/>
    <w:rsid w:val="00520F32"/>
    <w:rsid w:val="0053112D"/>
    <w:rsid w:val="00531CA4"/>
    <w:rsid w:val="00532542"/>
    <w:rsid w:val="00546306"/>
    <w:rsid w:val="005615FE"/>
    <w:rsid w:val="00565BA4"/>
    <w:rsid w:val="00570DF9"/>
    <w:rsid w:val="00571AA5"/>
    <w:rsid w:val="00580D22"/>
    <w:rsid w:val="00585124"/>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7528"/>
    <w:rsid w:val="00633A04"/>
    <w:rsid w:val="00634F54"/>
    <w:rsid w:val="006370DF"/>
    <w:rsid w:val="006411A6"/>
    <w:rsid w:val="006411DF"/>
    <w:rsid w:val="00646791"/>
    <w:rsid w:val="00654840"/>
    <w:rsid w:val="00673C44"/>
    <w:rsid w:val="00684F34"/>
    <w:rsid w:val="00686CD4"/>
    <w:rsid w:val="0069445C"/>
    <w:rsid w:val="00696623"/>
    <w:rsid w:val="006A2CD6"/>
    <w:rsid w:val="006C0F54"/>
    <w:rsid w:val="006C26BE"/>
    <w:rsid w:val="006C5530"/>
    <w:rsid w:val="006C6827"/>
    <w:rsid w:val="006D187D"/>
    <w:rsid w:val="006E4E22"/>
    <w:rsid w:val="006E64CC"/>
    <w:rsid w:val="006E71D6"/>
    <w:rsid w:val="006F3D2C"/>
    <w:rsid w:val="006F4A89"/>
    <w:rsid w:val="007006D5"/>
    <w:rsid w:val="00706997"/>
    <w:rsid w:val="00710780"/>
    <w:rsid w:val="007120A3"/>
    <w:rsid w:val="007212D6"/>
    <w:rsid w:val="00721719"/>
    <w:rsid w:val="007268E0"/>
    <w:rsid w:val="007278BF"/>
    <w:rsid w:val="00727E86"/>
    <w:rsid w:val="00730857"/>
    <w:rsid w:val="007336E8"/>
    <w:rsid w:val="00744DE8"/>
    <w:rsid w:val="00754C9D"/>
    <w:rsid w:val="0075722D"/>
    <w:rsid w:val="00764518"/>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9242A"/>
    <w:rsid w:val="00895D5A"/>
    <w:rsid w:val="008B5620"/>
    <w:rsid w:val="008C21F3"/>
    <w:rsid w:val="008C6FB9"/>
    <w:rsid w:val="008E4D83"/>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370B"/>
    <w:rsid w:val="009C5511"/>
    <w:rsid w:val="009C66FF"/>
    <w:rsid w:val="009D0AE2"/>
    <w:rsid w:val="009D26C3"/>
    <w:rsid w:val="009D42AF"/>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36313"/>
    <w:rsid w:val="00A554C8"/>
    <w:rsid w:val="00A5706E"/>
    <w:rsid w:val="00A65A7B"/>
    <w:rsid w:val="00A72245"/>
    <w:rsid w:val="00A7325D"/>
    <w:rsid w:val="00A874BE"/>
    <w:rsid w:val="00A92403"/>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3422"/>
    <w:rsid w:val="00B27B4F"/>
    <w:rsid w:val="00B27DA0"/>
    <w:rsid w:val="00B34B9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E5F79"/>
    <w:rsid w:val="00D05B8F"/>
    <w:rsid w:val="00D06063"/>
    <w:rsid w:val="00D102CD"/>
    <w:rsid w:val="00D12686"/>
    <w:rsid w:val="00D12E1E"/>
    <w:rsid w:val="00D13CAB"/>
    <w:rsid w:val="00D2250C"/>
    <w:rsid w:val="00D24A1C"/>
    <w:rsid w:val="00D25CF8"/>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4273"/>
    <w:rsid w:val="00DA5995"/>
    <w:rsid w:val="00DB3985"/>
    <w:rsid w:val="00DB4953"/>
    <w:rsid w:val="00DC0ED4"/>
    <w:rsid w:val="00DC7F97"/>
    <w:rsid w:val="00DD019F"/>
    <w:rsid w:val="00DE15E7"/>
    <w:rsid w:val="00DF5163"/>
    <w:rsid w:val="00E15D00"/>
    <w:rsid w:val="00E20570"/>
    <w:rsid w:val="00E209CB"/>
    <w:rsid w:val="00E25D34"/>
    <w:rsid w:val="00E273B4"/>
    <w:rsid w:val="00E31E8B"/>
    <w:rsid w:val="00E36D39"/>
    <w:rsid w:val="00E43A23"/>
    <w:rsid w:val="00E44B8E"/>
    <w:rsid w:val="00E47D5B"/>
    <w:rsid w:val="00E5260E"/>
    <w:rsid w:val="00E56C4C"/>
    <w:rsid w:val="00E71CEB"/>
    <w:rsid w:val="00E74979"/>
    <w:rsid w:val="00E906B5"/>
    <w:rsid w:val="00E909DF"/>
    <w:rsid w:val="00EA4465"/>
    <w:rsid w:val="00EB1B2C"/>
    <w:rsid w:val="00EB5F34"/>
    <w:rsid w:val="00EB6196"/>
    <w:rsid w:val="00EC0D5D"/>
    <w:rsid w:val="00ED1726"/>
    <w:rsid w:val="00ED2018"/>
    <w:rsid w:val="00ED2B9F"/>
    <w:rsid w:val="00ED6E2C"/>
    <w:rsid w:val="00ED7B1E"/>
    <w:rsid w:val="00EE18FB"/>
    <w:rsid w:val="00EF69AE"/>
    <w:rsid w:val="00F169DE"/>
    <w:rsid w:val="00F23D65"/>
    <w:rsid w:val="00F31A89"/>
    <w:rsid w:val="00F32A7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file:///\\SW12ADC02\archivi\010_CONFINDUSTRIA%20UMBRIA\Notiziario\2020\EDILIZIA\info@anceumbria.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13</TotalTime>
  <Pages>2</Pages>
  <Words>705</Words>
  <Characters>4024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4720</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7</cp:revision>
  <cp:lastPrinted>2019-02-27T17:41:00Z</cp:lastPrinted>
  <dcterms:created xsi:type="dcterms:W3CDTF">2020-06-12T13:54:00Z</dcterms:created>
  <dcterms:modified xsi:type="dcterms:W3CDTF">2020-06-12T15:08:00Z</dcterms:modified>
</cp:coreProperties>
</file>