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A08C9" w14:textId="4937482A" w:rsidR="00532080" w:rsidRPr="00756945" w:rsidRDefault="00756945" w:rsidP="00532080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756945"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8E69DA" w:rsidRPr="00756945">
        <w:rPr>
          <w:rFonts w:ascii="Calibri" w:hAnsi="Calibri" w:cs="Arial"/>
          <w:b/>
          <w:bCs/>
          <w:color w:val="000000"/>
          <w:sz w:val="22"/>
          <w:szCs w:val="22"/>
        </w:rPr>
        <w:t>Appalti ASMEL: la stazione appaltante revoca su impulso dell’ANAC</w:t>
      </w:r>
    </w:p>
    <w:p w14:paraId="1A70CC2F" w14:textId="769FDFF5" w:rsidR="00A549EE" w:rsidRPr="00756945" w:rsidRDefault="00A549EE" w:rsidP="00532080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</w:p>
    <w:p w14:paraId="7B4FDBC0" w14:textId="77777777" w:rsidR="008E69DA" w:rsidRPr="00756945" w:rsidRDefault="008E69DA" w:rsidP="008E69DA">
      <w:pPr>
        <w:shd w:val="clear" w:color="auto" w:fill="FFFFFF"/>
        <w:spacing w:line="240" w:lineRule="exact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>Determinazione n. 977/2020 Comune di Biella</w:t>
      </w:r>
    </w:p>
    <w:p w14:paraId="41AE59AC" w14:textId="2870C616" w:rsidR="008E69DA" w:rsidRPr="00756945" w:rsidRDefault="008E69DA" w:rsidP="008E69DA">
      <w:pPr>
        <w:shd w:val="clear" w:color="auto" w:fill="FFFFFF"/>
        <w:spacing w:line="240" w:lineRule="exact"/>
        <w:rPr>
          <w:rFonts w:ascii="Calibri" w:hAnsi="Calibri"/>
          <w:sz w:val="22"/>
          <w:szCs w:val="22"/>
        </w:rPr>
      </w:pPr>
    </w:p>
    <w:p w14:paraId="096C0E71" w14:textId="77777777" w:rsidR="008E69DA" w:rsidRPr="00756945" w:rsidRDefault="008E69DA" w:rsidP="008E69DA">
      <w:pPr>
        <w:shd w:val="clear" w:color="auto" w:fill="FFFFFF"/>
        <w:spacing w:line="240" w:lineRule="exact"/>
        <w:rPr>
          <w:rFonts w:ascii="Calibri" w:hAnsi="Calibri"/>
          <w:sz w:val="22"/>
          <w:szCs w:val="22"/>
        </w:rPr>
      </w:pPr>
    </w:p>
    <w:p w14:paraId="58B2FE50" w14:textId="17F496A1" w:rsidR="008E69DA" w:rsidRPr="00756945" w:rsidRDefault="008E69DA" w:rsidP="008E69DA">
      <w:pPr>
        <w:shd w:val="clear" w:color="auto" w:fill="FFFFFF"/>
        <w:jc w:val="both"/>
        <w:rPr>
          <w:rFonts w:ascii="Calibri" w:hAnsi="Calibri"/>
          <w:b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 xml:space="preserve">Con la </w:t>
      </w:r>
      <w:r w:rsidRPr="00756945">
        <w:rPr>
          <w:rFonts w:ascii="Calibri" w:hAnsi="Calibri"/>
          <w:b/>
          <w:bCs/>
          <w:sz w:val="22"/>
          <w:szCs w:val="22"/>
        </w:rPr>
        <w:t>determinazione</w:t>
      </w:r>
      <w:r w:rsidRPr="00756945">
        <w:rPr>
          <w:rFonts w:ascii="Calibri" w:hAnsi="Calibri"/>
          <w:sz w:val="22"/>
          <w:szCs w:val="22"/>
        </w:rPr>
        <w:t xml:space="preserve"> </w:t>
      </w:r>
      <w:r w:rsidRPr="00756945">
        <w:rPr>
          <w:rFonts w:ascii="Calibri" w:hAnsi="Calibri"/>
          <w:b/>
          <w:sz w:val="22"/>
          <w:szCs w:val="22"/>
        </w:rPr>
        <w:t xml:space="preserve">n. 977 del 23 marzo </w:t>
      </w:r>
      <w:r w:rsidR="0061180E" w:rsidRPr="00756945">
        <w:rPr>
          <w:rFonts w:ascii="Calibri" w:hAnsi="Calibri"/>
          <w:b/>
          <w:sz w:val="22"/>
          <w:szCs w:val="22"/>
        </w:rPr>
        <w:t>scorso</w:t>
      </w:r>
      <w:r w:rsidRPr="00756945">
        <w:rPr>
          <w:rFonts w:ascii="Calibri" w:hAnsi="Calibri"/>
          <w:sz w:val="22"/>
          <w:szCs w:val="22"/>
        </w:rPr>
        <w:t xml:space="preserve">, </w:t>
      </w:r>
      <w:r w:rsidR="0061180E" w:rsidRPr="00756945">
        <w:rPr>
          <w:rFonts w:ascii="Calibri" w:hAnsi="Calibri"/>
          <w:sz w:val="22"/>
          <w:szCs w:val="22"/>
        </w:rPr>
        <w:t xml:space="preserve">allegata, </w:t>
      </w:r>
      <w:r w:rsidRPr="00756945">
        <w:rPr>
          <w:rFonts w:ascii="Calibri" w:hAnsi="Calibri"/>
          <w:sz w:val="22"/>
          <w:szCs w:val="22"/>
        </w:rPr>
        <w:t xml:space="preserve">il dirigente dell’ufficio Polizia Locale del Comune di Biella </w:t>
      </w:r>
      <w:r w:rsidRPr="00756945">
        <w:rPr>
          <w:rFonts w:ascii="Calibri" w:hAnsi="Calibri"/>
          <w:b/>
          <w:sz w:val="22"/>
          <w:szCs w:val="22"/>
        </w:rPr>
        <w:t>ha revocato in autotutela la gara</w:t>
      </w:r>
      <w:r w:rsidRPr="00756945">
        <w:rPr>
          <w:rFonts w:ascii="Calibri" w:hAnsi="Calibri"/>
          <w:sz w:val="22"/>
          <w:szCs w:val="22"/>
        </w:rPr>
        <w:t xml:space="preserve"> relativa ad un affidamento di servizi (“</w:t>
      </w:r>
      <w:r w:rsidRPr="00756945">
        <w:rPr>
          <w:rFonts w:ascii="Calibri" w:hAnsi="Calibri"/>
          <w:i/>
          <w:sz w:val="22"/>
          <w:szCs w:val="22"/>
        </w:rPr>
        <w:t>servizio di riorganizzazione, adeguamento, gestione e manutenzione del sistema di videosorveglianza e di controllo accessi ZTL con formula di noleggio decennale</w:t>
      </w:r>
      <w:r w:rsidRPr="00756945">
        <w:rPr>
          <w:rFonts w:ascii="Calibri" w:hAnsi="Calibri"/>
          <w:sz w:val="22"/>
          <w:szCs w:val="22"/>
        </w:rPr>
        <w:t>”), oggetto</w:t>
      </w:r>
      <w:r w:rsidR="0061180E" w:rsidRPr="00756945">
        <w:rPr>
          <w:rFonts w:ascii="Calibri" w:hAnsi="Calibri"/>
          <w:sz w:val="22"/>
          <w:szCs w:val="22"/>
        </w:rPr>
        <w:t xml:space="preserve"> di</w:t>
      </w:r>
      <w:r w:rsidRPr="00756945">
        <w:rPr>
          <w:rFonts w:ascii="Calibri" w:hAnsi="Calibri"/>
          <w:sz w:val="22"/>
          <w:szCs w:val="22"/>
        </w:rPr>
        <w:t xml:space="preserve"> </w:t>
      </w:r>
      <w:r w:rsidRPr="00756945">
        <w:rPr>
          <w:rFonts w:ascii="Calibri" w:hAnsi="Calibri"/>
          <w:b/>
          <w:sz w:val="22"/>
          <w:szCs w:val="22"/>
        </w:rPr>
        <w:t>parere ANAC n. 179 del 26 febbraio 2020.</w:t>
      </w:r>
    </w:p>
    <w:p w14:paraId="65D3334E" w14:textId="77777777" w:rsidR="008E69DA" w:rsidRPr="00756945" w:rsidRDefault="008E69DA" w:rsidP="008E69DA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> </w:t>
      </w:r>
    </w:p>
    <w:p w14:paraId="726414EB" w14:textId="1AC8AC83" w:rsidR="008E69DA" w:rsidRPr="00756945" w:rsidRDefault="008E69DA" w:rsidP="008E69DA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 xml:space="preserve">L’Autorità – nell’ambito della più ampia attività di monitoraggio dei bandi di gara pubblicati sul sito ASMEL – aveva agito ai sensi </w:t>
      </w:r>
      <w:r w:rsidRPr="00756945">
        <w:rPr>
          <w:rFonts w:ascii="Calibri" w:hAnsi="Calibri"/>
          <w:b/>
          <w:sz w:val="22"/>
          <w:szCs w:val="22"/>
        </w:rPr>
        <w:t>dell’art. 211, comma 1-</w:t>
      </w:r>
      <w:r w:rsidRPr="00756945">
        <w:rPr>
          <w:rFonts w:ascii="Calibri" w:hAnsi="Calibri"/>
          <w:b/>
          <w:i/>
          <w:sz w:val="22"/>
          <w:szCs w:val="22"/>
        </w:rPr>
        <w:t>ter</w:t>
      </w:r>
      <w:r w:rsidRPr="00756945">
        <w:rPr>
          <w:rFonts w:ascii="Calibri" w:hAnsi="Calibri"/>
          <w:b/>
          <w:sz w:val="22"/>
          <w:szCs w:val="22"/>
        </w:rPr>
        <w:t>, d.lgs. n. 50/2016</w:t>
      </w:r>
      <w:r w:rsidRPr="00756945">
        <w:rPr>
          <w:rFonts w:ascii="Calibri" w:hAnsi="Calibri"/>
          <w:sz w:val="22"/>
          <w:szCs w:val="22"/>
        </w:rPr>
        <w:t xml:space="preserve">, che le attribuisce il potere di adottare </w:t>
      </w:r>
      <w:r w:rsidRPr="00756945">
        <w:rPr>
          <w:rFonts w:ascii="Calibri" w:hAnsi="Calibri"/>
          <w:b/>
          <w:sz w:val="22"/>
          <w:szCs w:val="22"/>
        </w:rPr>
        <w:t>pareri motivati</w:t>
      </w:r>
      <w:r w:rsidRPr="00756945">
        <w:rPr>
          <w:rFonts w:ascii="Calibri" w:hAnsi="Calibri"/>
          <w:sz w:val="22"/>
          <w:szCs w:val="22"/>
        </w:rPr>
        <w:t xml:space="preserve"> nelle ipotesi di riscontro di vizi di legittimità dei provvedimenti di gara e, in caso di </w:t>
      </w:r>
      <w:r w:rsidRPr="00756945">
        <w:rPr>
          <w:rFonts w:ascii="Calibri" w:hAnsi="Calibri"/>
          <w:b/>
          <w:sz w:val="22"/>
          <w:szCs w:val="22"/>
        </w:rPr>
        <w:t>mancata ottemperanza</w:t>
      </w:r>
      <w:r w:rsidRPr="00756945">
        <w:rPr>
          <w:rFonts w:ascii="Calibri" w:hAnsi="Calibri"/>
          <w:sz w:val="22"/>
          <w:szCs w:val="22"/>
        </w:rPr>
        <w:t xml:space="preserve"> da parte delle Stazioni appaltanti, di </w:t>
      </w:r>
      <w:r w:rsidRPr="00756945">
        <w:rPr>
          <w:rFonts w:ascii="Calibri" w:hAnsi="Calibri"/>
          <w:b/>
          <w:sz w:val="22"/>
          <w:szCs w:val="22"/>
        </w:rPr>
        <w:t>impugnarli dinanzi al Giudice amministrativo</w:t>
      </w:r>
      <w:r w:rsidRPr="00756945">
        <w:rPr>
          <w:rFonts w:ascii="Calibri" w:hAnsi="Calibri"/>
          <w:sz w:val="22"/>
          <w:szCs w:val="22"/>
        </w:rPr>
        <w:t xml:space="preserve">. </w:t>
      </w:r>
      <w:r w:rsidR="0061180E" w:rsidRPr="00756945">
        <w:rPr>
          <w:rFonts w:ascii="Calibri" w:hAnsi="Calibri"/>
          <w:sz w:val="22"/>
          <w:szCs w:val="22"/>
        </w:rPr>
        <w:t>Nello specifico</w:t>
      </w:r>
      <w:r w:rsidRPr="00756945">
        <w:rPr>
          <w:rFonts w:ascii="Calibri" w:hAnsi="Calibri"/>
          <w:sz w:val="22"/>
          <w:szCs w:val="22"/>
        </w:rPr>
        <w:t xml:space="preserve">, aveva concesso all’Amministrazione 20 giorni di tempo per potersi conformare. </w:t>
      </w:r>
    </w:p>
    <w:p w14:paraId="0483768F" w14:textId="77777777" w:rsidR="008E69DA" w:rsidRPr="00756945" w:rsidRDefault="008E69DA" w:rsidP="008E69DA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> </w:t>
      </w:r>
    </w:p>
    <w:p w14:paraId="4267F0BD" w14:textId="46DA351F" w:rsidR="008E69DA" w:rsidRPr="00756945" w:rsidRDefault="008E69DA" w:rsidP="008E69DA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 xml:space="preserve">Nel caso in esame, l’ANAC aveva in primo luogo riscontrato negli atti di gara la presenza della nota </w:t>
      </w:r>
      <w:r w:rsidRPr="00756945">
        <w:rPr>
          <w:rFonts w:ascii="Calibri" w:hAnsi="Calibri"/>
          <w:b/>
          <w:sz w:val="22"/>
          <w:szCs w:val="22"/>
        </w:rPr>
        <w:t>clausola che impone ai concorrenti</w:t>
      </w:r>
      <w:r w:rsidRPr="00756945">
        <w:rPr>
          <w:rFonts w:ascii="Calibri" w:hAnsi="Calibri"/>
          <w:sz w:val="22"/>
          <w:szCs w:val="22"/>
        </w:rPr>
        <w:t xml:space="preserve"> di versare ad ASMEL – in caso di aggiudicazione – </w:t>
      </w:r>
      <w:r w:rsidRPr="00756945">
        <w:rPr>
          <w:rFonts w:ascii="Calibri" w:hAnsi="Calibri"/>
          <w:b/>
          <w:sz w:val="22"/>
          <w:szCs w:val="22"/>
        </w:rPr>
        <w:t>gli “oneri di committenza”</w:t>
      </w:r>
      <w:r w:rsidRPr="00756945">
        <w:rPr>
          <w:rFonts w:ascii="Calibri" w:hAnsi="Calibri"/>
          <w:sz w:val="22"/>
          <w:szCs w:val="22"/>
        </w:rPr>
        <w:t xml:space="preserve"> relativi alla gara in esame, rammentandone, da un lato, la portata sostanzialmente </w:t>
      </w:r>
      <w:r w:rsidRPr="00756945">
        <w:rPr>
          <w:rFonts w:ascii="Calibri" w:hAnsi="Calibri"/>
          <w:b/>
          <w:sz w:val="22"/>
          <w:szCs w:val="22"/>
        </w:rPr>
        <w:t>escludente</w:t>
      </w:r>
      <w:r w:rsidRPr="00756945">
        <w:rPr>
          <w:rFonts w:ascii="Calibri" w:hAnsi="Calibri"/>
          <w:sz w:val="22"/>
          <w:szCs w:val="22"/>
        </w:rPr>
        <w:t xml:space="preserve"> (imponendo la sottoscrizione di un atto unilaterale d’obbligo da allegare all’offerta, posto a pena di irricevibilità di questa, della quale costituisce elemento essenziale), in contrasto con il principio di tassatività delle cause di esclusione sancito dall’art. 83, comma 8°, del Codice dei contratti; dall’altro lato aveva evidenziato </w:t>
      </w:r>
      <w:r w:rsidRPr="00756945">
        <w:rPr>
          <w:rFonts w:ascii="Calibri" w:hAnsi="Calibri"/>
          <w:b/>
          <w:sz w:val="22"/>
          <w:szCs w:val="22"/>
        </w:rPr>
        <w:t>l’illegittimità di tale previsione</w:t>
      </w:r>
      <w:r w:rsidRPr="00756945">
        <w:rPr>
          <w:rFonts w:ascii="Calibri" w:hAnsi="Calibri"/>
          <w:sz w:val="22"/>
          <w:szCs w:val="22"/>
        </w:rPr>
        <w:t xml:space="preserve">, poiché in chiaro conflitto con gli </w:t>
      </w:r>
      <w:r w:rsidRPr="00756945">
        <w:rPr>
          <w:rFonts w:ascii="Calibri" w:hAnsi="Calibri"/>
          <w:b/>
          <w:sz w:val="22"/>
          <w:szCs w:val="22"/>
        </w:rPr>
        <w:t>articoli 23 Cost.</w:t>
      </w:r>
      <w:r w:rsidRPr="00756945">
        <w:rPr>
          <w:rFonts w:ascii="Calibri" w:hAnsi="Calibri"/>
          <w:sz w:val="22"/>
          <w:szCs w:val="22"/>
        </w:rPr>
        <w:t xml:space="preserve"> (in quanto il meccanismo di remunerazione a carico dell’aggiudicatario è privo di qualsiasi base normativa) e </w:t>
      </w:r>
      <w:r w:rsidRPr="00756945">
        <w:rPr>
          <w:rFonts w:ascii="Calibri" w:hAnsi="Calibri"/>
          <w:b/>
          <w:sz w:val="22"/>
          <w:szCs w:val="22"/>
        </w:rPr>
        <w:t>41, comma 2-</w:t>
      </w:r>
      <w:r w:rsidRPr="00756945">
        <w:rPr>
          <w:rFonts w:ascii="Calibri" w:hAnsi="Calibri"/>
          <w:b/>
          <w:i/>
          <w:sz w:val="22"/>
          <w:szCs w:val="22"/>
        </w:rPr>
        <w:t>bis</w:t>
      </w:r>
      <w:r w:rsidRPr="00756945">
        <w:rPr>
          <w:rFonts w:ascii="Calibri" w:hAnsi="Calibri"/>
          <w:sz w:val="22"/>
          <w:szCs w:val="22"/>
        </w:rPr>
        <w:t>, del Codice dei contratti pubblici.</w:t>
      </w:r>
    </w:p>
    <w:p w14:paraId="288B639E" w14:textId="77777777" w:rsidR="008E69DA" w:rsidRPr="00756945" w:rsidRDefault="008E69DA" w:rsidP="008E69DA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> </w:t>
      </w:r>
    </w:p>
    <w:p w14:paraId="06797FE4" w14:textId="77777777" w:rsidR="008E69DA" w:rsidRPr="00756945" w:rsidRDefault="008E69DA" w:rsidP="008E69DA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 xml:space="preserve">In secondo luogo, aveva ritenuto che ASMEL Consortile fosse </w:t>
      </w:r>
      <w:r w:rsidRPr="00756945">
        <w:rPr>
          <w:rFonts w:ascii="Calibri" w:hAnsi="Calibri"/>
          <w:b/>
          <w:sz w:val="22"/>
          <w:szCs w:val="22"/>
        </w:rPr>
        <w:t>priva della titolarità per agire come centrale di committenza</w:t>
      </w:r>
      <w:r w:rsidRPr="00756945">
        <w:rPr>
          <w:rFonts w:ascii="Calibri" w:hAnsi="Calibri"/>
          <w:sz w:val="22"/>
          <w:szCs w:val="22"/>
        </w:rPr>
        <w:t>. In particolare, l’Autorità aveva dimostrato come ASMEL non rispondesse a nessuno dei modelli organizzativi previsti quali possibili sistemi di aggregazione degli appalti di enti locali (</w:t>
      </w:r>
      <w:r w:rsidRPr="00756945">
        <w:rPr>
          <w:rFonts w:ascii="Calibri" w:hAnsi="Calibri"/>
          <w:i/>
          <w:sz w:val="22"/>
          <w:szCs w:val="22"/>
        </w:rPr>
        <w:t>ex</w:t>
      </w:r>
      <w:r w:rsidRPr="00756945">
        <w:rPr>
          <w:rFonts w:ascii="Calibri" w:hAnsi="Calibri"/>
          <w:sz w:val="22"/>
          <w:szCs w:val="22"/>
        </w:rPr>
        <w:t xml:space="preserve"> artt. art. 33 comma 3-</w:t>
      </w:r>
      <w:r w:rsidRPr="00756945">
        <w:rPr>
          <w:rFonts w:ascii="Calibri" w:hAnsi="Calibri"/>
          <w:i/>
          <w:sz w:val="22"/>
          <w:szCs w:val="22"/>
        </w:rPr>
        <w:t>bis</w:t>
      </w:r>
      <w:r w:rsidRPr="00756945">
        <w:rPr>
          <w:rFonts w:ascii="Calibri" w:hAnsi="Calibri"/>
          <w:sz w:val="22"/>
          <w:szCs w:val="22"/>
        </w:rPr>
        <w:t xml:space="preserve">, d.lgs. 163/2006 e 37, comma 4, d.lgs. n. 50/2016), oltre a </w:t>
      </w:r>
      <w:r w:rsidRPr="00756945">
        <w:rPr>
          <w:rFonts w:ascii="Calibri" w:hAnsi="Calibri"/>
          <w:b/>
          <w:sz w:val="22"/>
          <w:szCs w:val="22"/>
        </w:rPr>
        <w:t>non potersi qualificare né come organismo di diritto pubblico</w:t>
      </w:r>
      <w:r w:rsidRPr="00756945">
        <w:rPr>
          <w:rFonts w:ascii="Calibri" w:hAnsi="Calibri"/>
          <w:sz w:val="22"/>
          <w:szCs w:val="22"/>
        </w:rPr>
        <w:t xml:space="preserve">, né come </w:t>
      </w:r>
      <w:r w:rsidRPr="00756945">
        <w:rPr>
          <w:rFonts w:ascii="Calibri" w:hAnsi="Calibri"/>
          <w:b/>
          <w:sz w:val="22"/>
          <w:szCs w:val="22"/>
        </w:rPr>
        <w:t xml:space="preserve">società </w:t>
      </w:r>
      <w:r w:rsidRPr="00756945">
        <w:rPr>
          <w:rFonts w:ascii="Calibri" w:hAnsi="Calibri"/>
          <w:b/>
          <w:i/>
          <w:sz w:val="22"/>
          <w:szCs w:val="22"/>
        </w:rPr>
        <w:t>in house</w:t>
      </w:r>
      <w:r w:rsidRPr="00756945">
        <w:rPr>
          <w:rFonts w:ascii="Calibri" w:hAnsi="Calibri"/>
          <w:sz w:val="22"/>
          <w:szCs w:val="22"/>
        </w:rPr>
        <w:t xml:space="preserve"> degli enti locali riuniti in essa. </w:t>
      </w:r>
    </w:p>
    <w:p w14:paraId="7E2BF8FC" w14:textId="77777777" w:rsidR="008E69DA" w:rsidRPr="00756945" w:rsidRDefault="008E69DA" w:rsidP="008E69DA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> </w:t>
      </w:r>
    </w:p>
    <w:p w14:paraId="77FBCD5C" w14:textId="7B809999" w:rsidR="008E69DA" w:rsidRPr="00756945" w:rsidRDefault="008E69DA" w:rsidP="008E69DA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 xml:space="preserve">Questi ultimi aspetti, peraltro, sono stati oggetto di una lunga e complessa </w:t>
      </w:r>
      <w:r w:rsidRPr="00756945">
        <w:rPr>
          <w:rFonts w:ascii="Calibri" w:hAnsi="Calibri"/>
          <w:i/>
          <w:sz w:val="22"/>
          <w:szCs w:val="22"/>
        </w:rPr>
        <w:t>querelle</w:t>
      </w:r>
      <w:r w:rsidRPr="00756945">
        <w:rPr>
          <w:rFonts w:ascii="Calibri" w:hAnsi="Calibri"/>
          <w:sz w:val="22"/>
          <w:szCs w:val="22"/>
        </w:rPr>
        <w:t xml:space="preserve"> tra l’ANAC ed ASMEL, sulla quale da ultimo si è pronunciata </w:t>
      </w:r>
      <w:r w:rsidRPr="00756945">
        <w:rPr>
          <w:rFonts w:ascii="Calibri" w:hAnsi="Calibri"/>
          <w:b/>
          <w:sz w:val="22"/>
          <w:szCs w:val="22"/>
        </w:rPr>
        <w:t>la Corte di Giustizia UE</w:t>
      </w:r>
      <w:r w:rsidRPr="00756945">
        <w:rPr>
          <w:rFonts w:ascii="Calibri" w:hAnsi="Calibri"/>
          <w:sz w:val="22"/>
          <w:szCs w:val="22"/>
        </w:rPr>
        <w:t xml:space="preserve"> (</w:t>
      </w:r>
      <w:r w:rsidRPr="00756945">
        <w:rPr>
          <w:rFonts w:ascii="Calibri" w:hAnsi="Calibri"/>
          <w:b/>
          <w:sz w:val="22"/>
          <w:szCs w:val="22"/>
        </w:rPr>
        <w:t xml:space="preserve">sentenza C 3/19 del 4 giugno </w:t>
      </w:r>
      <w:r w:rsidR="0061180E" w:rsidRPr="00756945">
        <w:rPr>
          <w:rFonts w:ascii="Calibri" w:hAnsi="Calibri"/>
          <w:b/>
          <w:sz w:val="22"/>
          <w:szCs w:val="22"/>
        </w:rPr>
        <w:t>scorso</w:t>
      </w:r>
      <w:r w:rsidRPr="00756945">
        <w:rPr>
          <w:rFonts w:ascii="Calibri" w:hAnsi="Calibri"/>
          <w:sz w:val="22"/>
          <w:szCs w:val="22"/>
        </w:rPr>
        <w:t xml:space="preserve">, su rinvio del Consiglio di Stato), che ha dichiarato la piena legittimità comunitaria della normativa nazionale che limita i modelli organizzativi delle centrali di committenza a quelli espressamente previsti. </w:t>
      </w:r>
    </w:p>
    <w:p w14:paraId="12023F55" w14:textId="77777777" w:rsidR="008E69DA" w:rsidRPr="00756945" w:rsidRDefault="008E69DA" w:rsidP="008E69DA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> </w:t>
      </w:r>
    </w:p>
    <w:p w14:paraId="7B444B8F" w14:textId="0B94F93B" w:rsidR="008E69DA" w:rsidRPr="00756945" w:rsidRDefault="008E69DA" w:rsidP="008E69DA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>Tutte le esposte criticità hanno così</w:t>
      </w:r>
      <w:r w:rsidR="0061180E" w:rsidRPr="00756945">
        <w:rPr>
          <w:rFonts w:ascii="Calibri" w:hAnsi="Calibri"/>
          <w:sz w:val="22"/>
          <w:szCs w:val="22"/>
        </w:rPr>
        <w:t xml:space="preserve"> </w:t>
      </w:r>
      <w:r w:rsidRPr="00756945">
        <w:rPr>
          <w:rFonts w:ascii="Calibri" w:hAnsi="Calibri"/>
          <w:sz w:val="22"/>
          <w:szCs w:val="22"/>
        </w:rPr>
        <w:t xml:space="preserve">indotto il Comune di Biella a revocare l’intera gara, anche in ragione del fatto che </w:t>
      </w:r>
      <w:r w:rsidRPr="00756945">
        <w:rPr>
          <w:rFonts w:ascii="Calibri" w:hAnsi="Calibri"/>
          <w:b/>
          <w:sz w:val="22"/>
          <w:szCs w:val="22"/>
        </w:rPr>
        <w:t>ASMEL</w:t>
      </w:r>
      <w:r w:rsidRPr="00756945">
        <w:rPr>
          <w:rFonts w:ascii="Calibri" w:hAnsi="Calibri"/>
          <w:sz w:val="22"/>
          <w:szCs w:val="22"/>
        </w:rPr>
        <w:t xml:space="preserve">, invitata dalla Stazione appaltante a fornire chiarimenti, </w:t>
      </w:r>
      <w:r w:rsidRPr="00756945">
        <w:rPr>
          <w:rFonts w:ascii="Calibri" w:hAnsi="Calibri"/>
          <w:b/>
          <w:sz w:val="22"/>
          <w:szCs w:val="22"/>
        </w:rPr>
        <w:t>non ha saputo dissipare i dubbi</w:t>
      </w:r>
      <w:r w:rsidRPr="00756945">
        <w:rPr>
          <w:rFonts w:ascii="Calibri" w:hAnsi="Calibri"/>
          <w:sz w:val="22"/>
          <w:szCs w:val="22"/>
        </w:rPr>
        <w:t xml:space="preserve"> sollevati dall’ANAC, accentuando così</w:t>
      </w:r>
      <w:r w:rsidR="0061180E" w:rsidRPr="00756945">
        <w:rPr>
          <w:rFonts w:ascii="Calibri" w:hAnsi="Calibri"/>
          <w:sz w:val="22"/>
          <w:szCs w:val="22"/>
        </w:rPr>
        <w:t xml:space="preserve"> </w:t>
      </w:r>
      <w:r w:rsidRPr="00756945">
        <w:rPr>
          <w:rFonts w:ascii="Calibri" w:hAnsi="Calibri"/>
          <w:sz w:val="22"/>
          <w:szCs w:val="22"/>
        </w:rPr>
        <w:t xml:space="preserve">il grave rischio di un probabile ricorso in giudizio promosso dall’Autorità. </w:t>
      </w:r>
    </w:p>
    <w:p w14:paraId="0613A92F" w14:textId="77777777" w:rsidR="008E69DA" w:rsidRPr="00756945" w:rsidRDefault="008E69DA" w:rsidP="008E69DA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> </w:t>
      </w:r>
    </w:p>
    <w:p w14:paraId="3B4E29D8" w14:textId="7A8C9D85" w:rsidR="008E69DA" w:rsidRPr="00756945" w:rsidRDefault="008E69DA" w:rsidP="008E69DA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lastRenderedPageBreak/>
        <w:t>Infine, significativa (soprattutto</w:t>
      </w:r>
      <w:r w:rsidR="0061180E" w:rsidRPr="00756945">
        <w:rPr>
          <w:rFonts w:ascii="Calibri" w:hAnsi="Calibri"/>
          <w:sz w:val="22"/>
          <w:szCs w:val="22"/>
        </w:rPr>
        <w:t xml:space="preserve"> </w:t>
      </w:r>
      <w:r w:rsidRPr="00756945">
        <w:rPr>
          <w:rFonts w:ascii="Calibri" w:hAnsi="Calibri"/>
          <w:sz w:val="22"/>
          <w:szCs w:val="22"/>
        </w:rPr>
        <w:t>in ottica futura) sembra essere l</w:t>
      </w:r>
      <w:r w:rsidR="0061180E" w:rsidRPr="00756945">
        <w:rPr>
          <w:rFonts w:ascii="Calibri" w:hAnsi="Calibri"/>
          <w:sz w:val="22"/>
          <w:szCs w:val="22"/>
        </w:rPr>
        <w:t>’“</w:t>
      </w:r>
      <w:r w:rsidRPr="00756945">
        <w:rPr>
          <w:rFonts w:ascii="Calibri" w:hAnsi="Calibri"/>
          <w:sz w:val="22"/>
          <w:szCs w:val="22"/>
        </w:rPr>
        <w:t>ammissione” da parte del Comune, di aver costituito un nuovo Ufficio Gare e Contratti, “</w:t>
      </w:r>
      <w:r w:rsidRPr="00756945">
        <w:rPr>
          <w:rFonts w:ascii="Calibri" w:hAnsi="Calibri"/>
          <w:i/>
          <w:sz w:val="22"/>
          <w:szCs w:val="22"/>
        </w:rPr>
        <w:t>in grado di gestire tutte le procedure dell’appalto di cui all’oggetto</w:t>
      </w:r>
      <w:r w:rsidRPr="00756945">
        <w:rPr>
          <w:rFonts w:ascii="Calibri" w:hAnsi="Calibri"/>
          <w:sz w:val="22"/>
          <w:szCs w:val="22"/>
        </w:rPr>
        <w:t>”.</w:t>
      </w:r>
    </w:p>
    <w:p w14:paraId="40A81F08" w14:textId="77777777" w:rsidR="008E69DA" w:rsidRPr="00756945" w:rsidRDefault="008E69DA" w:rsidP="008E69DA">
      <w:pPr>
        <w:shd w:val="clear" w:color="auto" w:fill="FFFFFF"/>
        <w:spacing w:after="120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> </w:t>
      </w:r>
    </w:p>
    <w:p w14:paraId="0CBB4E66" w14:textId="2A486C62" w:rsidR="008E69DA" w:rsidRPr="00756945" w:rsidRDefault="0061180E" w:rsidP="008E69DA">
      <w:pPr>
        <w:shd w:val="clear" w:color="auto" w:fill="FFFFFF"/>
        <w:spacing w:after="120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b/>
          <w:bCs/>
          <w:sz w:val="22"/>
          <w:szCs w:val="22"/>
        </w:rPr>
        <w:t>In allegato</w:t>
      </w:r>
      <w:r w:rsidR="008E69DA" w:rsidRPr="00756945">
        <w:rPr>
          <w:rFonts w:ascii="Calibri" w:hAnsi="Calibri"/>
          <w:sz w:val="22"/>
          <w:szCs w:val="22"/>
        </w:rPr>
        <w:t xml:space="preserve"> il provvedimento.</w:t>
      </w:r>
    </w:p>
    <w:p w14:paraId="259FB783" w14:textId="77777777" w:rsidR="008E69DA" w:rsidRPr="00756945" w:rsidRDefault="008E69DA" w:rsidP="00532080">
      <w:pPr>
        <w:shd w:val="clear" w:color="auto" w:fill="FFFFFF"/>
        <w:spacing w:after="75"/>
        <w:jc w:val="both"/>
        <w:rPr>
          <w:rFonts w:ascii="Calibri" w:hAnsi="Calibri"/>
          <w:sz w:val="22"/>
          <w:szCs w:val="22"/>
        </w:rPr>
      </w:pPr>
    </w:p>
    <w:p w14:paraId="5717701C" w14:textId="3934D1BE" w:rsidR="00625F3C" w:rsidRPr="00756945" w:rsidRDefault="00625F3C" w:rsidP="00532080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7118A66F" w14:textId="77777777" w:rsidR="003B0B57" w:rsidRPr="00756945" w:rsidRDefault="003B0B57" w:rsidP="00532080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756945" w:rsidRDefault="006411DF" w:rsidP="00532080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756945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756945" w:rsidRDefault="006411DF" w:rsidP="00532080">
      <w:pPr>
        <w:pStyle w:val="NormaleWeb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756945" w:rsidRDefault="006411DF" w:rsidP="00532080">
      <w:pPr>
        <w:pStyle w:val="NormaleWeb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 xml:space="preserve">Perugia – </w:t>
      </w:r>
      <w:hyperlink r:id="rId7" w:history="1">
        <w:r w:rsidRPr="00756945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756945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756945" w:rsidRDefault="006411DF" w:rsidP="00532080">
      <w:pPr>
        <w:pStyle w:val="NormaleWeb"/>
        <w:jc w:val="both"/>
        <w:rPr>
          <w:rFonts w:ascii="Calibri" w:hAnsi="Calibri"/>
          <w:sz w:val="22"/>
          <w:szCs w:val="22"/>
        </w:rPr>
      </w:pPr>
      <w:r w:rsidRPr="00756945">
        <w:rPr>
          <w:rFonts w:ascii="Calibri" w:hAnsi="Calibri"/>
          <w:sz w:val="22"/>
          <w:szCs w:val="22"/>
        </w:rPr>
        <w:t xml:space="preserve">Terni - </w:t>
      </w:r>
      <w:hyperlink r:id="rId8" w:history="1">
        <w:r w:rsidRPr="00756945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756945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756945" w:rsidRDefault="005A6420" w:rsidP="0053208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756945" w:rsidRDefault="00371573" w:rsidP="0053208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06E0F72" w14:textId="77777777" w:rsidR="00CF6D2A" w:rsidRPr="00756945" w:rsidRDefault="00CF6D2A" w:rsidP="000312D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</w:p>
    <w:p w14:paraId="7FBCA73E" w14:textId="737D40D3" w:rsidR="00783E6E" w:rsidRPr="00756945" w:rsidRDefault="00952E48" w:rsidP="000312D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756945">
        <w:rPr>
          <w:rFonts w:ascii="Calibri" w:hAnsi="Calibri" w:cs="Calibri"/>
          <w:sz w:val="22"/>
          <w:szCs w:val="22"/>
        </w:rPr>
        <w:t xml:space="preserve">Pubblicato il </w:t>
      </w:r>
      <w:r w:rsidR="00B203AC" w:rsidRPr="00756945">
        <w:rPr>
          <w:rFonts w:ascii="Calibri" w:hAnsi="Calibri" w:cs="Calibri"/>
          <w:sz w:val="22"/>
          <w:szCs w:val="22"/>
        </w:rPr>
        <w:t>0</w:t>
      </w:r>
      <w:r w:rsidR="00532080" w:rsidRPr="00756945">
        <w:rPr>
          <w:rFonts w:ascii="Calibri" w:hAnsi="Calibri" w:cs="Calibri"/>
          <w:sz w:val="22"/>
          <w:szCs w:val="22"/>
        </w:rPr>
        <w:t>3</w:t>
      </w:r>
      <w:r w:rsidR="00B203AC" w:rsidRPr="00756945">
        <w:rPr>
          <w:rFonts w:ascii="Calibri" w:hAnsi="Calibri" w:cs="Calibri"/>
          <w:sz w:val="22"/>
          <w:szCs w:val="22"/>
        </w:rPr>
        <w:t>/07</w:t>
      </w:r>
      <w:r w:rsidR="00297F87" w:rsidRPr="00756945">
        <w:rPr>
          <w:rFonts w:ascii="Calibri" w:hAnsi="Calibri" w:cs="Calibri"/>
          <w:sz w:val="22"/>
          <w:szCs w:val="22"/>
        </w:rPr>
        <w:t>/2020</w:t>
      </w:r>
    </w:p>
    <w:sectPr w:rsidR="00783E6E" w:rsidRPr="00756945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CB038" w14:textId="77777777" w:rsidR="00756945" w:rsidRDefault="00756945">
      <w:r>
        <w:separator/>
      </w:r>
    </w:p>
  </w:endnote>
  <w:endnote w:type="continuationSeparator" w:id="0">
    <w:p w14:paraId="57FEFB5A" w14:textId="77777777" w:rsidR="00756945" w:rsidRDefault="0075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36980" w14:textId="77777777" w:rsidR="00756945" w:rsidRDefault="00756945">
      <w:r>
        <w:separator/>
      </w:r>
    </w:p>
  </w:footnote>
  <w:footnote w:type="continuationSeparator" w:id="0">
    <w:p w14:paraId="36D8F828" w14:textId="77777777" w:rsidR="00756945" w:rsidRDefault="0075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756945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22355"/>
    <w:multiLevelType w:val="hybridMultilevel"/>
    <w:tmpl w:val="DA36FF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6662B"/>
    <w:multiLevelType w:val="hybridMultilevel"/>
    <w:tmpl w:val="AC9083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12D7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5D8"/>
    <w:rsid w:val="000D4668"/>
    <w:rsid w:val="000D4ADA"/>
    <w:rsid w:val="000E38C9"/>
    <w:rsid w:val="000E6DB1"/>
    <w:rsid w:val="0010566D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3446"/>
    <w:rsid w:val="002B7EEB"/>
    <w:rsid w:val="002D246E"/>
    <w:rsid w:val="002D2B28"/>
    <w:rsid w:val="002E4047"/>
    <w:rsid w:val="002F44A9"/>
    <w:rsid w:val="00300CDB"/>
    <w:rsid w:val="00306EA7"/>
    <w:rsid w:val="003114C4"/>
    <w:rsid w:val="00322EE8"/>
    <w:rsid w:val="00326815"/>
    <w:rsid w:val="003347DC"/>
    <w:rsid w:val="0034265F"/>
    <w:rsid w:val="00363BF8"/>
    <w:rsid w:val="003646F3"/>
    <w:rsid w:val="00371573"/>
    <w:rsid w:val="00385BAE"/>
    <w:rsid w:val="003944BF"/>
    <w:rsid w:val="00395392"/>
    <w:rsid w:val="003A759E"/>
    <w:rsid w:val="003B0B57"/>
    <w:rsid w:val="003B6D95"/>
    <w:rsid w:val="003B7ED2"/>
    <w:rsid w:val="003C19FB"/>
    <w:rsid w:val="003C6682"/>
    <w:rsid w:val="003E5874"/>
    <w:rsid w:val="003F1228"/>
    <w:rsid w:val="0041047E"/>
    <w:rsid w:val="0041177C"/>
    <w:rsid w:val="0042052A"/>
    <w:rsid w:val="004353E3"/>
    <w:rsid w:val="004435C3"/>
    <w:rsid w:val="00454209"/>
    <w:rsid w:val="00462395"/>
    <w:rsid w:val="00465747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3112D"/>
    <w:rsid w:val="00531CA4"/>
    <w:rsid w:val="00532080"/>
    <w:rsid w:val="00532542"/>
    <w:rsid w:val="00534E4E"/>
    <w:rsid w:val="00546306"/>
    <w:rsid w:val="005615FE"/>
    <w:rsid w:val="00565BA4"/>
    <w:rsid w:val="00570DF9"/>
    <w:rsid w:val="00571AA5"/>
    <w:rsid w:val="00572355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180E"/>
    <w:rsid w:val="00617528"/>
    <w:rsid w:val="00625F3C"/>
    <w:rsid w:val="00633A04"/>
    <w:rsid w:val="00634F54"/>
    <w:rsid w:val="006370DF"/>
    <w:rsid w:val="006411A6"/>
    <w:rsid w:val="006411DF"/>
    <w:rsid w:val="00646791"/>
    <w:rsid w:val="00654840"/>
    <w:rsid w:val="00673C44"/>
    <w:rsid w:val="00684F34"/>
    <w:rsid w:val="00686CD4"/>
    <w:rsid w:val="0069445C"/>
    <w:rsid w:val="00696623"/>
    <w:rsid w:val="006A2CD6"/>
    <w:rsid w:val="006C0F54"/>
    <w:rsid w:val="006C26BE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4C9D"/>
    <w:rsid w:val="00756945"/>
    <w:rsid w:val="0075722D"/>
    <w:rsid w:val="00760281"/>
    <w:rsid w:val="00761C9E"/>
    <w:rsid w:val="00764518"/>
    <w:rsid w:val="00775FF9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3432"/>
    <w:rsid w:val="008B5620"/>
    <w:rsid w:val="008C21F3"/>
    <w:rsid w:val="008C6FB9"/>
    <w:rsid w:val="008E4D83"/>
    <w:rsid w:val="008E69DA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5511"/>
    <w:rsid w:val="009C66FF"/>
    <w:rsid w:val="009D0AE2"/>
    <w:rsid w:val="009D26C3"/>
    <w:rsid w:val="009D42AF"/>
    <w:rsid w:val="009D58A8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0D22"/>
    <w:rsid w:val="00AA755B"/>
    <w:rsid w:val="00AA7A03"/>
    <w:rsid w:val="00AB393D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03AC"/>
    <w:rsid w:val="00B23422"/>
    <w:rsid w:val="00B27B4F"/>
    <w:rsid w:val="00B27DA0"/>
    <w:rsid w:val="00B34B96"/>
    <w:rsid w:val="00B37E0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1FB2"/>
    <w:rsid w:val="00CE5F79"/>
    <w:rsid w:val="00CF6D2A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9275A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19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3921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5</cp:revision>
  <cp:lastPrinted>2019-02-27T17:41:00Z</cp:lastPrinted>
  <dcterms:created xsi:type="dcterms:W3CDTF">2020-07-03T13:06:00Z</dcterms:created>
  <dcterms:modified xsi:type="dcterms:W3CDTF">2020-07-03T13:30:00Z</dcterms:modified>
</cp:coreProperties>
</file>