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62C4" w14:textId="5A8E9EB1" w:rsidR="00D44D11" w:rsidRDefault="00AC0A1C" w:rsidP="0012439D">
      <w:pPr>
        <w:jc w:val="both"/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12439D" w:rsidRPr="00F30915">
        <w:rPr>
          <w:rFonts w:ascii="Calibri" w:hAnsi="Calibri"/>
          <w:b/>
          <w:bCs/>
          <w:sz w:val="22"/>
          <w:szCs w:val="22"/>
        </w:rPr>
        <w:t>Conversione Decreto Rilancio.</w:t>
      </w:r>
      <w:r w:rsidR="0012439D">
        <w:t xml:space="preserve"> </w:t>
      </w:r>
      <w:r w:rsidR="0012439D">
        <w:rPr>
          <w:rFonts w:ascii="Calibri" w:hAnsi="Calibri" w:cs="Calibri Light"/>
          <w:b/>
          <w:bCs/>
          <w:sz w:val="22"/>
          <w:szCs w:val="22"/>
        </w:rPr>
        <w:t>N</w:t>
      </w:r>
      <w:r w:rsidR="0012439D" w:rsidRPr="0012439D">
        <w:rPr>
          <w:rFonts w:ascii="Calibri" w:hAnsi="Calibri" w:cs="Calibri Light"/>
          <w:b/>
          <w:bCs/>
          <w:sz w:val="22"/>
          <w:szCs w:val="22"/>
        </w:rPr>
        <w:t xml:space="preserve">omina obbligatoria </w:t>
      </w:r>
      <w:r w:rsidR="0012439D">
        <w:rPr>
          <w:rFonts w:ascii="Calibri" w:hAnsi="Calibri" w:cs="Calibri Light"/>
          <w:b/>
          <w:bCs/>
          <w:sz w:val="22"/>
          <w:szCs w:val="22"/>
        </w:rPr>
        <w:t>organi di controllo: nuovo termine</w:t>
      </w:r>
    </w:p>
    <w:p w14:paraId="32D23474" w14:textId="77777777" w:rsidR="00D44D11" w:rsidRDefault="00D44D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313A79F1" w14:textId="65ACC1E2" w:rsidR="00322729" w:rsidRPr="00747106" w:rsidRDefault="0012439D" w:rsidP="00270D53">
      <w:pPr>
        <w:rPr>
          <w:rFonts w:ascii="Calibri" w:hAnsi="Calibri" w:cs="Calibri"/>
          <w:color w:val="1C2024"/>
          <w:sz w:val="22"/>
          <w:szCs w:val="22"/>
        </w:rPr>
      </w:pPr>
      <w:r>
        <w:rPr>
          <w:rFonts w:ascii="Calibri" w:hAnsi="Calibri" w:cs="Calibri"/>
          <w:color w:val="1C2024"/>
          <w:sz w:val="22"/>
          <w:szCs w:val="22"/>
        </w:rPr>
        <w:t>Rinvio</w:t>
      </w:r>
      <w:r w:rsidRPr="0012439D">
        <w:rPr>
          <w:rFonts w:ascii="Calibri" w:hAnsi="Calibri" w:cs="Calibri"/>
          <w:color w:val="1C2024"/>
          <w:sz w:val="22"/>
          <w:szCs w:val="22"/>
        </w:rPr>
        <w:t xml:space="preserve"> previsto dalla </w:t>
      </w:r>
      <w:r>
        <w:rPr>
          <w:rFonts w:ascii="Calibri" w:hAnsi="Calibri" w:cs="Calibri"/>
          <w:color w:val="1C2024"/>
          <w:sz w:val="22"/>
          <w:szCs w:val="22"/>
        </w:rPr>
        <w:t>l</w:t>
      </w:r>
      <w:r w:rsidRPr="0012439D">
        <w:rPr>
          <w:rFonts w:ascii="Calibri" w:hAnsi="Calibri" w:cs="Calibri"/>
          <w:color w:val="1C2024"/>
          <w:sz w:val="22"/>
          <w:szCs w:val="22"/>
        </w:rPr>
        <w:t>egge 77/2020</w:t>
      </w:r>
    </w:p>
    <w:p w14:paraId="3D5D6075" w14:textId="142788C0" w:rsidR="00322729" w:rsidRDefault="00322729" w:rsidP="00322729"/>
    <w:p w14:paraId="1F73B2DE" w14:textId="77777777" w:rsidR="0012439D" w:rsidRPr="00F30915" w:rsidRDefault="0012439D" w:rsidP="0012439D">
      <w:p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  <w:r w:rsidRPr="00F30915">
        <w:rPr>
          <w:rFonts w:ascii="Calibri" w:hAnsi="Calibri" w:cs="Roboto-Regular"/>
          <w:sz w:val="22"/>
          <w:szCs w:val="22"/>
        </w:rPr>
        <w:t xml:space="preserve">Con la conversione in legge del DL Rilancio viene disposto all’articolo 51-bis il rinvio dell’obbligo di nomina degli organi di controllo nelle </w:t>
      </w:r>
      <w:proofErr w:type="spellStart"/>
      <w:r w:rsidRPr="00F30915">
        <w:rPr>
          <w:rFonts w:ascii="Calibri" w:hAnsi="Calibri" w:cs="Roboto-Regular"/>
          <w:sz w:val="22"/>
          <w:szCs w:val="22"/>
        </w:rPr>
        <w:t>srl</w:t>
      </w:r>
      <w:proofErr w:type="spellEnd"/>
      <w:r w:rsidRPr="00F30915">
        <w:rPr>
          <w:rFonts w:ascii="Calibri" w:hAnsi="Calibri" w:cs="Roboto-Regular"/>
          <w:sz w:val="22"/>
          <w:szCs w:val="22"/>
        </w:rPr>
        <w:t xml:space="preserve"> e nelle società cooperative, entro la data di approvazione dei bilanci relativi all’esercizio 2021.</w:t>
      </w:r>
    </w:p>
    <w:p w14:paraId="34A1BD79" w14:textId="77777777" w:rsidR="0012439D" w:rsidRPr="00F30915" w:rsidRDefault="0012439D" w:rsidP="0012439D">
      <w:p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</w:p>
    <w:p w14:paraId="3BEEA818" w14:textId="77777777" w:rsidR="0012439D" w:rsidRPr="00F30915" w:rsidRDefault="0012439D" w:rsidP="0012439D">
      <w:p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  <w:r w:rsidRPr="00F30915">
        <w:rPr>
          <w:rFonts w:ascii="Calibri" w:hAnsi="Calibri" w:cs="Roboto-Regular"/>
          <w:sz w:val="22"/>
          <w:szCs w:val="22"/>
        </w:rPr>
        <w:t xml:space="preserve">In particolare, al </w:t>
      </w:r>
      <w:r w:rsidRPr="00F30915">
        <w:rPr>
          <w:rFonts w:ascii="Calibri" w:eastAsia="Arial" w:hAnsi="Calibri" w:cs="Arial"/>
          <w:sz w:val="22"/>
          <w:szCs w:val="22"/>
        </w:rPr>
        <w:t>fi</w:t>
      </w:r>
      <w:r w:rsidRPr="00F30915">
        <w:rPr>
          <w:rFonts w:ascii="Calibri" w:hAnsi="Calibri" w:cs="Roboto-Regular"/>
          <w:sz w:val="22"/>
          <w:szCs w:val="22"/>
        </w:rPr>
        <w:t xml:space="preserve">ne di contenere gli effetti negativi derivanti dalle misure di prevenzione e contenimento connesse all'emergenza epidemiologica da COVID-19 sulle attività d'impresa, il termine per tale nomina, previsto dall’articolo 379, comma 3, del </w:t>
      </w:r>
      <w:proofErr w:type="spellStart"/>
      <w:r w:rsidRPr="00F30915">
        <w:rPr>
          <w:rFonts w:ascii="Calibri" w:hAnsi="Calibri" w:cs="Roboto-Regular"/>
          <w:sz w:val="22"/>
          <w:szCs w:val="22"/>
        </w:rPr>
        <w:t>D.Lgs.</w:t>
      </w:r>
      <w:proofErr w:type="spellEnd"/>
      <w:r w:rsidRPr="00F30915">
        <w:rPr>
          <w:rFonts w:ascii="Calibri" w:hAnsi="Calibri" w:cs="Roboto-Regular"/>
          <w:sz w:val="22"/>
          <w:szCs w:val="22"/>
        </w:rPr>
        <w:t xml:space="preserve"> n. 14/2019 - </w:t>
      </w:r>
      <w:r w:rsidRPr="00F30915">
        <w:rPr>
          <w:rFonts w:ascii="Calibri" w:hAnsi="Calibri" w:cs="Roboto-Regular"/>
          <w:i/>
          <w:iCs/>
          <w:sz w:val="22"/>
          <w:szCs w:val="22"/>
        </w:rPr>
        <w:t>Codice della crisi d’impresa e dell’insolvenza</w:t>
      </w:r>
      <w:r w:rsidRPr="00F30915">
        <w:rPr>
          <w:rFonts w:ascii="Calibri" w:hAnsi="Calibri" w:cs="Roboto-Regular"/>
          <w:sz w:val="22"/>
          <w:szCs w:val="22"/>
        </w:rPr>
        <w:t xml:space="preserve"> - è stato </w:t>
      </w:r>
      <w:r w:rsidRPr="005234A9">
        <w:rPr>
          <w:rFonts w:ascii="Calibri" w:hAnsi="Calibri" w:cs="Roboto-Regular"/>
          <w:sz w:val="22"/>
          <w:szCs w:val="22"/>
        </w:rPr>
        <w:t>rinviato alla data di approvazione dei bilanci relativi all’esercizio 2021, invece che dell’esercizio 2019</w:t>
      </w:r>
      <w:r w:rsidRPr="00F30915">
        <w:rPr>
          <w:rFonts w:ascii="Calibri" w:hAnsi="Calibri" w:cs="Roboto-Regular"/>
          <w:sz w:val="22"/>
          <w:szCs w:val="22"/>
        </w:rPr>
        <w:t xml:space="preserve"> (come precedentemente disposto dall’articolo 8, comma 6-sexies, del DL n. 162/2019, cd. Milleproroghe).</w:t>
      </w:r>
      <w:bookmarkStart w:id="0" w:name="_GoBack"/>
      <w:bookmarkEnd w:id="0"/>
    </w:p>
    <w:p w14:paraId="4DB37217" w14:textId="77777777" w:rsidR="0012439D" w:rsidRPr="00F30915" w:rsidRDefault="0012439D" w:rsidP="0012439D">
      <w:p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</w:p>
    <w:p w14:paraId="2CF23385" w14:textId="2E85942A" w:rsidR="0012439D" w:rsidRPr="00F30915" w:rsidRDefault="0012439D" w:rsidP="0012439D">
      <w:p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  <w:r w:rsidRPr="005B07C9">
        <w:rPr>
          <w:rFonts w:ascii="Calibri" w:hAnsi="Calibri" w:cs="Roboto-Regular"/>
          <w:sz w:val="22"/>
          <w:szCs w:val="22"/>
        </w:rPr>
        <w:t>In proposito, si ricorda che l’obbligo di nomina si attiva al superamento per due esercizi consecutivi di almeno uno dei nuovi parametri</w:t>
      </w:r>
      <w:r w:rsidRPr="00F30915">
        <w:rPr>
          <w:rFonts w:ascii="Calibri" w:hAnsi="Calibri" w:cs="Roboto-Regular"/>
          <w:sz w:val="22"/>
          <w:szCs w:val="22"/>
        </w:rPr>
        <w:t xml:space="preserve"> stabiliti dall’articolo 2477, secondo comma, del Codice civile (come modi</w:t>
      </w:r>
      <w:r w:rsidRPr="00F30915">
        <w:rPr>
          <w:rFonts w:ascii="Calibri" w:eastAsia="Arial" w:hAnsi="Calibri" w:cs="Arial"/>
          <w:sz w:val="22"/>
          <w:szCs w:val="22"/>
        </w:rPr>
        <w:t>fi</w:t>
      </w:r>
      <w:r w:rsidRPr="00F30915">
        <w:rPr>
          <w:rFonts w:ascii="Calibri" w:hAnsi="Calibri" w:cs="Roboto-Regular"/>
          <w:sz w:val="22"/>
          <w:szCs w:val="22"/>
        </w:rPr>
        <w:t xml:space="preserve">cato dall’articolo 379, comma 1, del </w:t>
      </w:r>
      <w:proofErr w:type="spellStart"/>
      <w:r w:rsidRPr="00F30915">
        <w:rPr>
          <w:rFonts w:ascii="Calibri" w:hAnsi="Calibri" w:cs="Roboto-Regular"/>
          <w:sz w:val="22"/>
          <w:szCs w:val="22"/>
        </w:rPr>
        <w:t>D.Lgs.</w:t>
      </w:r>
      <w:proofErr w:type="spellEnd"/>
      <w:r w:rsidRPr="00F30915">
        <w:rPr>
          <w:rFonts w:ascii="Calibri" w:hAnsi="Calibri" w:cs="Roboto-Regular"/>
          <w:sz w:val="22"/>
          <w:szCs w:val="22"/>
        </w:rPr>
        <w:t xml:space="preserve"> n. 14/2019 e poi dall'articolo 2-bis, comma 2, del DL n. 32/2019): </w:t>
      </w:r>
    </w:p>
    <w:p w14:paraId="7976EEF8" w14:textId="21937897" w:rsidR="0012439D" w:rsidRPr="00F30915" w:rsidRDefault="0012439D" w:rsidP="0012439D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  <w:r w:rsidRPr="00F30915">
        <w:rPr>
          <w:rFonts w:ascii="Calibri" w:hAnsi="Calibri" w:cs="Roboto-Regular"/>
          <w:sz w:val="22"/>
          <w:szCs w:val="22"/>
        </w:rPr>
        <w:t xml:space="preserve">totale dell'attivo dello stato patrimoniale: 4 milioni di euro; </w:t>
      </w:r>
    </w:p>
    <w:p w14:paraId="2B488515" w14:textId="41946BCB" w:rsidR="0012439D" w:rsidRPr="00F30915" w:rsidRDefault="0012439D" w:rsidP="0012439D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  <w:r w:rsidRPr="00F30915">
        <w:rPr>
          <w:rFonts w:ascii="Calibri" w:hAnsi="Calibri" w:cs="Roboto-Regular"/>
          <w:sz w:val="22"/>
          <w:szCs w:val="22"/>
        </w:rPr>
        <w:t xml:space="preserve">ricavi delle vendite e delle prestazioni: 4 milioni di euro; </w:t>
      </w:r>
    </w:p>
    <w:p w14:paraId="782CC03B" w14:textId="086C895C" w:rsidR="0012439D" w:rsidRPr="00F30915" w:rsidRDefault="0012439D" w:rsidP="0012439D">
      <w:pPr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Roboto-Regular"/>
          <w:sz w:val="22"/>
          <w:szCs w:val="22"/>
        </w:rPr>
      </w:pPr>
      <w:r w:rsidRPr="00F30915">
        <w:rPr>
          <w:rFonts w:ascii="Calibri" w:hAnsi="Calibri" w:cs="Roboto-Regular"/>
          <w:sz w:val="22"/>
          <w:szCs w:val="22"/>
        </w:rPr>
        <w:t>dipendenti occupati in media durante l'esercizio: 20 unità.</w:t>
      </w:r>
    </w:p>
    <w:p w14:paraId="4BB5FB3A" w14:textId="77777777" w:rsidR="0012439D" w:rsidRDefault="0012439D" w:rsidP="00322729"/>
    <w:p w14:paraId="5FD929A1" w14:textId="77777777" w:rsidR="00994DE8" w:rsidRPr="00747106" w:rsidRDefault="00994DE8" w:rsidP="00994DE8">
      <w:pPr>
        <w:pStyle w:val="NormaleWeb"/>
        <w:rPr>
          <w:rFonts w:ascii="Calibri" w:hAnsi="Calibri" w:cs="Calibri Light"/>
          <w:sz w:val="22"/>
          <w:szCs w:val="22"/>
        </w:rPr>
      </w:pPr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5234A9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5234A9">
        <w:rPr>
          <w:rFonts w:ascii="Calibri" w:hAnsi="Calibri" w:cs="Calibri"/>
          <w:sz w:val="22"/>
          <w:szCs w:val="22"/>
        </w:rPr>
        <w:t xml:space="preserve">Email: </w:t>
      </w:r>
      <w:r w:rsidR="00AC0A1C">
        <w:fldChar w:fldCharType="begin"/>
      </w:r>
      <w:r w:rsidR="00AC0A1C">
        <w:instrText xml:space="preserve"> HYPERLINK "mailto:vignaroli@confindustria.umbria.it" </w:instrText>
      </w:r>
      <w:r w:rsidR="00AC0A1C">
        <w:fldChar w:fldCharType="separate"/>
      </w:r>
      <w:r w:rsidRPr="005234A9">
        <w:rPr>
          <w:rFonts w:ascii="Calibri" w:hAnsi="Calibri" w:cs="Calibri"/>
          <w:color w:val="0000FF"/>
          <w:sz w:val="22"/>
          <w:szCs w:val="22"/>
          <w:u w:val="single"/>
        </w:rPr>
        <w:t>vignaroli@confindustria.umbria.it</w:t>
      </w:r>
      <w:r w:rsidR="00AC0A1C">
        <w:rPr>
          <w:rFonts w:ascii="Calibri" w:hAnsi="Calibri" w:cs="Calibri"/>
          <w:color w:val="0000FF"/>
          <w:sz w:val="22"/>
          <w:szCs w:val="22"/>
          <w:u w:val="single"/>
          <w:lang w:val="en-US"/>
        </w:rPr>
        <w:fldChar w:fldCharType="end"/>
      </w:r>
      <w:r w:rsidRPr="005234A9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58DAC409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12439D">
        <w:rPr>
          <w:rFonts w:ascii="Calibri" w:hAnsi="Calibri" w:cs="Calibri"/>
          <w:sz w:val="22"/>
          <w:szCs w:val="22"/>
        </w:rPr>
        <w:t>2</w:t>
      </w:r>
      <w:r w:rsidR="00322729">
        <w:rPr>
          <w:rFonts w:ascii="Calibri" w:hAnsi="Calibri" w:cs="Calibri"/>
          <w:sz w:val="22"/>
          <w:szCs w:val="22"/>
        </w:rPr>
        <w:t>1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322729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64AC6" w14:textId="77777777" w:rsidR="00AC0A1C" w:rsidRDefault="00AC0A1C">
      <w:r>
        <w:separator/>
      </w:r>
    </w:p>
  </w:endnote>
  <w:endnote w:type="continuationSeparator" w:id="0">
    <w:p w14:paraId="6C70DB2E" w14:textId="77777777" w:rsidR="00AC0A1C" w:rsidRDefault="00AC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15724" w14:textId="77777777" w:rsidR="00AC0A1C" w:rsidRDefault="00AC0A1C">
      <w:r>
        <w:separator/>
      </w:r>
    </w:p>
  </w:footnote>
  <w:footnote w:type="continuationSeparator" w:id="0">
    <w:p w14:paraId="03948B0E" w14:textId="77777777" w:rsidR="00AC0A1C" w:rsidRDefault="00AC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AC0A1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45pt;height:38.6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57DF1"/>
    <w:multiLevelType w:val="hybridMultilevel"/>
    <w:tmpl w:val="6A58533C"/>
    <w:lvl w:ilvl="0" w:tplc="71F065BC">
      <w:numFmt w:val="bullet"/>
      <w:lvlText w:val="-"/>
      <w:lvlJc w:val="left"/>
      <w:pPr>
        <w:ind w:left="720" w:hanging="360"/>
      </w:pPr>
      <w:rPr>
        <w:rFonts w:ascii="Calibri" w:eastAsia="Times New Roman" w:hAnsi="Calibri" w:cs="Robot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3"/>
  </w:num>
  <w:num w:numId="9">
    <w:abstractNumId w:val="27"/>
  </w:num>
  <w:num w:numId="10">
    <w:abstractNumId w:val="22"/>
  </w:num>
  <w:num w:numId="11">
    <w:abstractNumId w:val="12"/>
  </w:num>
  <w:num w:numId="12">
    <w:abstractNumId w:val="21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7"/>
  </w:num>
  <w:num w:numId="18">
    <w:abstractNumId w:val="1"/>
  </w:num>
  <w:num w:numId="19">
    <w:abstractNumId w:val="24"/>
  </w:num>
  <w:num w:numId="20">
    <w:abstractNumId w:val="18"/>
  </w:num>
  <w:num w:numId="21">
    <w:abstractNumId w:val="7"/>
  </w:num>
  <w:num w:numId="22">
    <w:abstractNumId w:val="26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5"/>
  </w:num>
  <w:num w:numId="2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4DD6"/>
    <w:rsid w:val="00086200"/>
    <w:rsid w:val="00087150"/>
    <w:rsid w:val="0009085F"/>
    <w:rsid w:val="00091677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439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2B5A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234A9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07C9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5870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A1C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091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cin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tagnino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259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1962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54</cp:revision>
  <cp:lastPrinted>2019-02-27T17:41:00Z</cp:lastPrinted>
  <dcterms:created xsi:type="dcterms:W3CDTF">2020-03-10T08:33:00Z</dcterms:created>
  <dcterms:modified xsi:type="dcterms:W3CDTF">2020-07-21T13:27:00Z</dcterms:modified>
</cp:coreProperties>
</file>