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562C4" w14:textId="44151D03" w:rsidR="00D44D11" w:rsidRDefault="008C1727" w:rsidP="00C3700B">
      <w:pPr>
        <w:rPr>
          <w:rFonts w:ascii="Calibri" w:hAnsi="Calibri" w:cs="Calibri Light"/>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FE5704" w:rsidRPr="00FE5704">
        <w:rPr>
          <w:rFonts w:ascii="Calibri" w:hAnsi="Calibri" w:cs="Calibri Light"/>
          <w:b/>
          <w:bCs/>
          <w:sz w:val="22"/>
          <w:szCs w:val="22"/>
        </w:rPr>
        <w:t>Crisi d’impresa: prorogati i termini per la nomina degli organi di controllo</w:t>
      </w:r>
    </w:p>
    <w:p w14:paraId="32D23474" w14:textId="77777777" w:rsidR="00D44D11" w:rsidRDefault="00D44D11" w:rsidP="00C3700B">
      <w:pPr>
        <w:rPr>
          <w:rFonts w:ascii="Calibri" w:hAnsi="Calibri" w:cs="Calibri Light"/>
          <w:b/>
          <w:bCs/>
          <w:sz w:val="22"/>
          <w:szCs w:val="22"/>
        </w:rPr>
      </w:pPr>
    </w:p>
    <w:p w14:paraId="313A79F1" w14:textId="681502EC" w:rsidR="00322729" w:rsidRDefault="003A5BAA" w:rsidP="00270D53">
      <w:pPr>
        <w:rPr>
          <w:rFonts w:ascii="Calibri" w:hAnsi="Calibri" w:cs="Calibri"/>
          <w:color w:val="1C2024"/>
          <w:sz w:val="22"/>
          <w:szCs w:val="22"/>
        </w:rPr>
      </w:pPr>
      <w:r>
        <w:rPr>
          <w:rFonts w:ascii="Calibri" w:hAnsi="Calibri" w:cs="Calibri"/>
          <w:color w:val="1C2024"/>
          <w:sz w:val="22"/>
          <w:szCs w:val="22"/>
        </w:rPr>
        <w:t>Emendamento al Decreto “Rilancio”</w:t>
      </w:r>
    </w:p>
    <w:p w14:paraId="091E0535" w14:textId="77777777" w:rsidR="003A5BAA" w:rsidRPr="00747106" w:rsidRDefault="003A5BAA" w:rsidP="00270D53">
      <w:pPr>
        <w:rPr>
          <w:rFonts w:ascii="Calibri" w:hAnsi="Calibri" w:cs="Calibri"/>
          <w:color w:val="1C2024"/>
          <w:sz w:val="22"/>
          <w:szCs w:val="22"/>
        </w:rPr>
      </w:pPr>
    </w:p>
    <w:p w14:paraId="746B6F11" w14:textId="18B81685"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La nomina degli organi di controllo</w:t>
      </w:r>
      <w:r w:rsidRPr="008C1727">
        <w:rPr>
          <w:rFonts w:ascii="Calibri" w:hAnsi="Calibri" w:cs="Calibri"/>
          <w:sz w:val="22"/>
          <w:szCs w:val="22"/>
        </w:rPr>
        <w:t>,</w:t>
      </w:r>
      <w:r w:rsidRPr="008C1727">
        <w:rPr>
          <w:rFonts w:ascii="Calibri" w:hAnsi="Calibri" w:cs="Calibri"/>
          <w:sz w:val="22"/>
          <w:szCs w:val="22"/>
        </w:rPr>
        <w:t xml:space="preserve"> per le s.r.l. che hanno superato per due esercizi consecutivi almeno una delle specifiche soglie di patrimonio, reddito e numero di dipendenti occupati, dovrà essere effettuato entro il termine per l’approvazione del bilancio relativo all’esercizio 2021, quindi </w:t>
      </w:r>
      <w:r w:rsidRPr="008C1727">
        <w:rPr>
          <w:rFonts w:ascii="Calibri" w:hAnsi="Calibri" w:cs="Calibri"/>
          <w:b/>
          <w:bCs/>
          <w:sz w:val="22"/>
          <w:szCs w:val="22"/>
        </w:rPr>
        <w:t>entro il 30 aprile 2022</w:t>
      </w:r>
      <w:r w:rsidRPr="008C1727">
        <w:rPr>
          <w:rFonts w:ascii="Calibri" w:hAnsi="Calibri" w:cs="Calibri"/>
          <w:sz w:val="22"/>
          <w:szCs w:val="22"/>
        </w:rPr>
        <w:t>.</w:t>
      </w:r>
    </w:p>
    <w:p w14:paraId="6F6D40F9" w14:textId="77777777" w:rsidR="00FE5704" w:rsidRPr="008C1727" w:rsidRDefault="00FE5704" w:rsidP="00FE5704">
      <w:pPr>
        <w:autoSpaceDE w:val="0"/>
        <w:autoSpaceDN w:val="0"/>
        <w:adjustRightInd w:val="0"/>
        <w:jc w:val="both"/>
        <w:rPr>
          <w:rFonts w:ascii="Calibri" w:hAnsi="Calibri" w:cs="Calibri"/>
          <w:sz w:val="22"/>
          <w:szCs w:val="22"/>
        </w:rPr>
      </w:pPr>
    </w:p>
    <w:p w14:paraId="5890D556" w14:textId="20B7D4F0"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Viene meno, quindi, il riferimento all’approvazione del bilancio 2019, per tener conto degli effetti derivanti dall’emergenza sanitaria in atto.</w:t>
      </w:r>
    </w:p>
    <w:p w14:paraId="4770B0C3" w14:textId="77777777" w:rsidR="00FE5704" w:rsidRPr="008C1727" w:rsidRDefault="00FE5704" w:rsidP="00FE5704">
      <w:pPr>
        <w:autoSpaceDE w:val="0"/>
        <w:autoSpaceDN w:val="0"/>
        <w:adjustRightInd w:val="0"/>
        <w:jc w:val="both"/>
        <w:rPr>
          <w:rFonts w:ascii="Calibri" w:hAnsi="Calibri" w:cs="Calibri"/>
          <w:sz w:val="22"/>
          <w:szCs w:val="22"/>
        </w:rPr>
      </w:pPr>
    </w:p>
    <w:p w14:paraId="47552F51" w14:textId="243408BD"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La proroga biennale scatta</w:t>
      </w:r>
      <w:r w:rsidRPr="008C1727">
        <w:rPr>
          <w:rFonts w:ascii="Calibri" w:hAnsi="Calibri" w:cs="Calibri"/>
          <w:sz w:val="22"/>
          <w:szCs w:val="22"/>
        </w:rPr>
        <w:t xml:space="preserve"> </w:t>
      </w:r>
      <w:r w:rsidRPr="008C1727">
        <w:rPr>
          <w:rFonts w:ascii="Calibri" w:hAnsi="Calibri" w:cs="Calibri"/>
          <w:sz w:val="22"/>
          <w:szCs w:val="22"/>
        </w:rPr>
        <w:t xml:space="preserve">con l’approvazione di un emendamento al DL </w:t>
      </w:r>
      <w:r w:rsidRPr="008C1727">
        <w:rPr>
          <w:rFonts w:ascii="Calibri" w:hAnsi="Calibri" w:cs="Calibri"/>
          <w:sz w:val="22"/>
          <w:szCs w:val="22"/>
        </w:rPr>
        <w:t>“</w:t>
      </w:r>
      <w:r w:rsidRPr="008C1727">
        <w:rPr>
          <w:rFonts w:ascii="Calibri" w:hAnsi="Calibri" w:cs="Calibri"/>
          <w:sz w:val="22"/>
          <w:szCs w:val="22"/>
        </w:rPr>
        <w:t>Rilancio</w:t>
      </w:r>
      <w:r w:rsidRPr="008C1727">
        <w:rPr>
          <w:rFonts w:ascii="Calibri" w:hAnsi="Calibri" w:cs="Calibri"/>
          <w:sz w:val="22"/>
          <w:szCs w:val="22"/>
        </w:rPr>
        <w:t>”</w:t>
      </w:r>
      <w:r w:rsidRPr="008C1727">
        <w:rPr>
          <w:rFonts w:ascii="Calibri" w:hAnsi="Calibri" w:cs="Calibri"/>
          <w:sz w:val="22"/>
          <w:szCs w:val="22"/>
        </w:rPr>
        <w:t xml:space="preserve"> (DL 34/2020 in fase di conversione DDL 2500/C).</w:t>
      </w:r>
    </w:p>
    <w:p w14:paraId="7B3FF4CD" w14:textId="77777777" w:rsidR="00FE5704" w:rsidRPr="008C1727" w:rsidRDefault="00FE5704" w:rsidP="00FE5704">
      <w:pPr>
        <w:autoSpaceDE w:val="0"/>
        <w:autoSpaceDN w:val="0"/>
        <w:adjustRightInd w:val="0"/>
        <w:jc w:val="both"/>
        <w:rPr>
          <w:rFonts w:ascii="Calibri" w:hAnsi="Calibri" w:cs="Calibri"/>
          <w:sz w:val="22"/>
          <w:szCs w:val="22"/>
        </w:rPr>
      </w:pPr>
    </w:p>
    <w:p w14:paraId="2A04FF8F" w14:textId="40DBFC33"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 xml:space="preserve">Per le s.r.l. e in presenza di determinate condizioni, il </w:t>
      </w:r>
      <w:r w:rsidRPr="008C1727">
        <w:rPr>
          <w:rFonts w:ascii="Calibri" w:hAnsi="Calibri" w:cs="Calibri"/>
          <w:i/>
          <w:iCs/>
          <w:sz w:val="22"/>
          <w:szCs w:val="22"/>
        </w:rPr>
        <w:t xml:space="preserve">Codice della crisi d’impresa </w:t>
      </w:r>
      <w:r w:rsidRPr="008C1727">
        <w:rPr>
          <w:rFonts w:ascii="Calibri" w:hAnsi="Calibri" w:cs="Calibri"/>
          <w:sz w:val="22"/>
          <w:szCs w:val="22"/>
        </w:rPr>
        <w:t>ha previsto l’obbligo di nomina degli organi di controllo.</w:t>
      </w:r>
    </w:p>
    <w:p w14:paraId="7F6E2DB2" w14:textId="77777777" w:rsidR="00FE5704" w:rsidRPr="008C1727" w:rsidRDefault="00FE5704" w:rsidP="00FE5704">
      <w:pPr>
        <w:autoSpaceDE w:val="0"/>
        <w:autoSpaceDN w:val="0"/>
        <w:adjustRightInd w:val="0"/>
        <w:jc w:val="both"/>
        <w:rPr>
          <w:rFonts w:ascii="Calibri" w:hAnsi="Calibri" w:cs="Calibri"/>
          <w:sz w:val="22"/>
          <w:szCs w:val="22"/>
        </w:rPr>
      </w:pPr>
    </w:p>
    <w:p w14:paraId="58167206" w14:textId="77777777"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 xml:space="preserve">Fin dalla sua introduzione, la disposizione ha suscitato perplessità, sia per il numero di società coinvolte, sia per l’aumento dei costi che le società dovranno sostenere, ma anche per il rischio che le segnalazioni possano compromettere l’affidabilità delle imprese verso gli istituti di credito. </w:t>
      </w:r>
    </w:p>
    <w:p w14:paraId="449D84BF" w14:textId="77777777" w:rsidR="00FE5704" w:rsidRPr="008C1727" w:rsidRDefault="00FE5704" w:rsidP="00FE5704">
      <w:pPr>
        <w:autoSpaceDE w:val="0"/>
        <w:autoSpaceDN w:val="0"/>
        <w:adjustRightInd w:val="0"/>
        <w:jc w:val="both"/>
        <w:rPr>
          <w:rFonts w:ascii="Calibri" w:hAnsi="Calibri" w:cs="Calibri"/>
          <w:sz w:val="22"/>
          <w:szCs w:val="22"/>
        </w:rPr>
      </w:pPr>
    </w:p>
    <w:p w14:paraId="1CCCCF38" w14:textId="719E26E6"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 xml:space="preserve">In particolare, l’obbligo di nomina scatta quando la società abbia superato, per due esercizi consecutivi, almeno uno dei limiti patrimoniali, reddituali (pari rispettivamente a 4 milioni di euro) e di occupazione (pari a 20 dipendenti – </w:t>
      </w:r>
      <w:r w:rsidRPr="008C1727">
        <w:rPr>
          <w:rFonts w:ascii="Calibri" w:hAnsi="Calibri" w:cs="Calibri"/>
          <w:i/>
          <w:iCs/>
          <w:sz w:val="22"/>
          <w:szCs w:val="22"/>
        </w:rPr>
        <w:t>cfr</w:t>
      </w:r>
      <w:r w:rsidRPr="008C1727">
        <w:rPr>
          <w:rFonts w:ascii="Calibri" w:hAnsi="Calibri" w:cs="Calibri"/>
          <w:sz w:val="22"/>
          <w:szCs w:val="22"/>
        </w:rPr>
        <w:t>. anche l’art.2-</w:t>
      </w:r>
      <w:r w:rsidRPr="008C1727">
        <w:rPr>
          <w:rFonts w:ascii="Calibri" w:hAnsi="Calibri" w:cs="Calibri"/>
          <w:i/>
          <w:iCs/>
          <w:sz w:val="22"/>
          <w:szCs w:val="22"/>
        </w:rPr>
        <w:t xml:space="preserve">bis </w:t>
      </w:r>
      <w:r w:rsidRPr="008C1727">
        <w:rPr>
          <w:rFonts w:ascii="Calibri" w:hAnsi="Calibri" w:cs="Calibri"/>
          <w:sz w:val="22"/>
          <w:szCs w:val="22"/>
        </w:rPr>
        <w:t>del “</w:t>
      </w:r>
      <w:r w:rsidRPr="008C1727">
        <w:rPr>
          <w:rFonts w:ascii="Calibri" w:hAnsi="Calibri" w:cs="Calibri"/>
          <w:i/>
          <w:iCs/>
          <w:sz w:val="22"/>
          <w:szCs w:val="22"/>
        </w:rPr>
        <w:t>D.L. Sblocca cantieri</w:t>
      </w:r>
      <w:r w:rsidRPr="008C1727">
        <w:rPr>
          <w:rFonts w:ascii="Calibri" w:hAnsi="Calibri" w:cs="Calibri"/>
          <w:sz w:val="22"/>
          <w:szCs w:val="22"/>
        </w:rPr>
        <w:t>” - D.L. 32/2019, convertito con modificazioni nella legge 55/2019 che ha rivisto le condizioni per la nomina obbligatoria degli organi di controllo nelle s.r.l., rispetto a quanto stabilito in origine nel “</w:t>
      </w:r>
      <w:r w:rsidRPr="008C1727">
        <w:rPr>
          <w:rFonts w:ascii="Calibri" w:hAnsi="Calibri" w:cs="Calibri"/>
          <w:i/>
          <w:iCs/>
          <w:sz w:val="22"/>
          <w:szCs w:val="22"/>
        </w:rPr>
        <w:t>Codice della crisi</w:t>
      </w:r>
      <w:r w:rsidRPr="008C1727">
        <w:rPr>
          <w:rFonts w:ascii="Calibri" w:hAnsi="Calibri" w:cs="Calibri"/>
          <w:sz w:val="22"/>
          <w:szCs w:val="22"/>
        </w:rPr>
        <w:t xml:space="preserve"> </w:t>
      </w:r>
      <w:r w:rsidRPr="008C1727">
        <w:rPr>
          <w:rFonts w:ascii="Calibri" w:hAnsi="Calibri" w:cs="Calibri"/>
          <w:i/>
          <w:iCs/>
          <w:sz w:val="22"/>
          <w:szCs w:val="22"/>
        </w:rPr>
        <w:t>d’impresa</w:t>
      </w:r>
      <w:r w:rsidRPr="008C1727">
        <w:rPr>
          <w:rFonts w:ascii="Calibri" w:hAnsi="Calibri" w:cs="Calibri"/>
          <w:sz w:val="22"/>
          <w:szCs w:val="22"/>
        </w:rPr>
        <w:t>”).</w:t>
      </w:r>
    </w:p>
    <w:p w14:paraId="594EA995" w14:textId="77777777" w:rsidR="003A5BAA" w:rsidRPr="008C1727" w:rsidRDefault="003A5BAA" w:rsidP="00FE5704">
      <w:pPr>
        <w:autoSpaceDE w:val="0"/>
        <w:autoSpaceDN w:val="0"/>
        <w:adjustRightInd w:val="0"/>
        <w:jc w:val="both"/>
        <w:rPr>
          <w:rFonts w:ascii="Calibri" w:hAnsi="Calibri" w:cs="Calibri"/>
          <w:sz w:val="22"/>
          <w:szCs w:val="22"/>
        </w:rPr>
      </w:pPr>
    </w:p>
    <w:p w14:paraId="783648A5" w14:textId="380D6F23"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Per le s.r.l. che</w:t>
      </w:r>
      <w:r w:rsidR="003A5BAA" w:rsidRPr="008C1727">
        <w:rPr>
          <w:rFonts w:ascii="Calibri" w:hAnsi="Calibri" w:cs="Calibri"/>
          <w:sz w:val="22"/>
          <w:szCs w:val="22"/>
        </w:rPr>
        <w:t xml:space="preserve"> </w:t>
      </w:r>
      <w:r w:rsidRPr="008C1727">
        <w:rPr>
          <w:rFonts w:ascii="Calibri" w:hAnsi="Calibri" w:cs="Calibri"/>
          <w:sz w:val="22"/>
          <w:szCs w:val="22"/>
        </w:rPr>
        <w:t>nel 2018 e 2019</w:t>
      </w:r>
      <w:r w:rsidR="003A5BAA" w:rsidRPr="008C1727">
        <w:rPr>
          <w:rFonts w:ascii="Calibri" w:hAnsi="Calibri" w:cs="Calibri"/>
          <w:sz w:val="22"/>
          <w:szCs w:val="22"/>
        </w:rPr>
        <w:t xml:space="preserve"> </w:t>
      </w:r>
      <w:r w:rsidRPr="008C1727">
        <w:rPr>
          <w:rFonts w:ascii="Calibri" w:hAnsi="Calibri" w:cs="Calibri"/>
          <w:sz w:val="22"/>
          <w:szCs w:val="22"/>
        </w:rPr>
        <w:t>abbiano superato i citati limiti, l’obbligo doveva essere eseguito entro il 30 giugno 2020 (termine differito da ultimo dall’art.</w:t>
      </w:r>
      <w:r w:rsidR="003A5BAA" w:rsidRPr="008C1727">
        <w:rPr>
          <w:rFonts w:ascii="Calibri" w:hAnsi="Calibri" w:cs="Calibri"/>
          <w:sz w:val="22"/>
          <w:szCs w:val="22"/>
        </w:rPr>
        <w:t xml:space="preserve"> </w:t>
      </w:r>
      <w:r w:rsidRPr="008C1727">
        <w:rPr>
          <w:rFonts w:ascii="Calibri" w:hAnsi="Calibri" w:cs="Calibri"/>
          <w:sz w:val="22"/>
          <w:szCs w:val="22"/>
        </w:rPr>
        <w:t>106 del D.L. 18/2020, convertito con modificazioni nella legge 27/2020 - cd. “</w:t>
      </w:r>
      <w:r w:rsidRPr="008C1727">
        <w:rPr>
          <w:rFonts w:ascii="Calibri" w:hAnsi="Calibri" w:cs="Calibri"/>
          <w:i/>
          <w:iCs/>
          <w:sz w:val="22"/>
          <w:szCs w:val="22"/>
        </w:rPr>
        <w:t>D.L. Cura Italia</w:t>
      </w:r>
      <w:r w:rsidRPr="008C1727">
        <w:rPr>
          <w:rFonts w:ascii="Calibri" w:hAnsi="Calibri" w:cs="Calibri"/>
          <w:sz w:val="22"/>
          <w:szCs w:val="22"/>
        </w:rPr>
        <w:t>”, in deroga agli artt.</w:t>
      </w:r>
      <w:r w:rsidR="003A5BAA" w:rsidRPr="008C1727">
        <w:rPr>
          <w:rFonts w:ascii="Calibri" w:hAnsi="Calibri" w:cs="Calibri"/>
          <w:sz w:val="22"/>
          <w:szCs w:val="22"/>
        </w:rPr>
        <w:t xml:space="preserve"> </w:t>
      </w:r>
      <w:r w:rsidRPr="008C1727">
        <w:rPr>
          <w:rFonts w:ascii="Calibri" w:hAnsi="Calibri" w:cs="Calibri"/>
          <w:sz w:val="22"/>
          <w:szCs w:val="22"/>
        </w:rPr>
        <w:t>2364 e 2478-</w:t>
      </w:r>
      <w:r w:rsidRPr="008C1727">
        <w:rPr>
          <w:rFonts w:ascii="Calibri" w:hAnsi="Calibri" w:cs="Calibri"/>
          <w:i/>
          <w:iCs/>
          <w:sz w:val="22"/>
          <w:szCs w:val="22"/>
        </w:rPr>
        <w:t xml:space="preserve">bis </w:t>
      </w:r>
      <w:r w:rsidRPr="008C1727">
        <w:rPr>
          <w:rFonts w:ascii="Calibri" w:hAnsi="Calibri" w:cs="Calibri"/>
          <w:sz w:val="22"/>
          <w:szCs w:val="22"/>
        </w:rPr>
        <w:t>del codice civile, a causa dell’emergenza sanitaria in atto).</w:t>
      </w:r>
    </w:p>
    <w:p w14:paraId="766D5440" w14:textId="77777777" w:rsidR="003A5BAA" w:rsidRPr="008C1727" w:rsidRDefault="003A5BAA" w:rsidP="00FE5704">
      <w:pPr>
        <w:autoSpaceDE w:val="0"/>
        <w:autoSpaceDN w:val="0"/>
        <w:adjustRightInd w:val="0"/>
        <w:jc w:val="both"/>
        <w:rPr>
          <w:rFonts w:ascii="Calibri" w:hAnsi="Calibri" w:cs="Calibri"/>
          <w:sz w:val="22"/>
          <w:szCs w:val="22"/>
        </w:rPr>
      </w:pPr>
    </w:p>
    <w:p w14:paraId="558DCFB6" w14:textId="22AD4574"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L’</w:t>
      </w:r>
      <w:r w:rsidRPr="008C1727">
        <w:rPr>
          <w:rFonts w:ascii="Calibri" w:hAnsi="Calibri" w:cs="Calibri"/>
          <w:i/>
          <w:iCs/>
          <w:sz w:val="22"/>
          <w:szCs w:val="22"/>
        </w:rPr>
        <w:t xml:space="preserve">iter </w:t>
      </w:r>
      <w:r w:rsidRPr="008C1727">
        <w:rPr>
          <w:rFonts w:ascii="Calibri" w:hAnsi="Calibri" w:cs="Calibri"/>
          <w:sz w:val="22"/>
          <w:szCs w:val="22"/>
        </w:rPr>
        <w:t xml:space="preserve">di conversione del Decreto </w:t>
      </w:r>
      <w:r w:rsidR="003A5BAA" w:rsidRPr="008C1727">
        <w:rPr>
          <w:rFonts w:ascii="Calibri" w:hAnsi="Calibri" w:cs="Calibri"/>
          <w:sz w:val="22"/>
          <w:szCs w:val="22"/>
        </w:rPr>
        <w:t>“</w:t>
      </w:r>
      <w:r w:rsidRPr="008C1727">
        <w:rPr>
          <w:rFonts w:ascii="Calibri" w:hAnsi="Calibri" w:cs="Calibri"/>
          <w:sz w:val="22"/>
          <w:szCs w:val="22"/>
        </w:rPr>
        <w:t>Rilancio</w:t>
      </w:r>
      <w:r w:rsidR="003A5BAA" w:rsidRPr="008C1727">
        <w:rPr>
          <w:rFonts w:ascii="Calibri" w:hAnsi="Calibri" w:cs="Calibri"/>
          <w:sz w:val="22"/>
          <w:szCs w:val="22"/>
        </w:rPr>
        <w:t>”</w:t>
      </w:r>
      <w:r w:rsidRPr="008C1727">
        <w:rPr>
          <w:rFonts w:ascii="Calibri" w:hAnsi="Calibri" w:cs="Calibri"/>
          <w:sz w:val="22"/>
          <w:szCs w:val="22"/>
        </w:rPr>
        <w:t>, in scadenza al 18 luglio, deve affrontare ancora la seconda lettura presso il Senato.</w:t>
      </w:r>
    </w:p>
    <w:p w14:paraId="278D3172" w14:textId="77777777" w:rsidR="003A5BAA" w:rsidRPr="008C1727" w:rsidRDefault="003A5BAA" w:rsidP="00FE5704">
      <w:pPr>
        <w:autoSpaceDE w:val="0"/>
        <w:autoSpaceDN w:val="0"/>
        <w:adjustRightInd w:val="0"/>
        <w:jc w:val="both"/>
        <w:rPr>
          <w:rFonts w:ascii="Calibri" w:hAnsi="Calibri" w:cs="Calibri"/>
          <w:sz w:val="22"/>
          <w:szCs w:val="22"/>
        </w:rPr>
      </w:pPr>
    </w:p>
    <w:p w14:paraId="3C665701" w14:textId="7B0BCFFC" w:rsidR="00FE5704" w:rsidRPr="008C1727" w:rsidRDefault="00FE5704" w:rsidP="00FE5704">
      <w:pPr>
        <w:autoSpaceDE w:val="0"/>
        <w:autoSpaceDN w:val="0"/>
        <w:adjustRightInd w:val="0"/>
        <w:jc w:val="both"/>
        <w:rPr>
          <w:rFonts w:ascii="Calibri" w:hAnsi="Calibri" w:cs="Calibri"/>
          <w:sz w:val="22"/>
          <w:szCs w:val="22"/>
        </w:rPr>
      </w:pPr>
      <w:r w:rsidRPr="008C1727">
        <w:rPr>
          <w:rFonts w:ascii="Calibri" w:hAnsi="Calibri" w:cs="Calibri"/>
          <w:sz w:val="22"/>
          <w:szCs w:val="22"/>
        </w:rPr>
        <w:t xml:space="preserve">In ogni caso la proroga relativa alla nomina degli organi di controllo per le s.r.l., entro il termine per l’approvazione del bilancio relativo all’esercizio 2021, diverrà pienamente efficace a seguito della pubblicazione in </w:t>
      </w:r>
      <w:r w:rsidRPr="008C1727">
        <w:rPr>
          <w:rFonts w:ascii="Calibri" w:hAnsi="Calibri" w:cs="Calibri"/>
          <w:i/>
          <w:iCs/>
          <w:sz w:val="22"/>
          <w:szCs w:val="22"/>
        </w:rPr>
        <w:t xml:space="preserve">Gazzetta Ufficiale </w:t>
      </w:r>
      <w:r w:rsidRPr="008C1727">
        <w:rPr>
          <w:rFonts w:ascii="Calibri" w:hAnsi="Calibri" w:cs="Calibri"/>
          <w:sz w:val="22"/>
          <w:szCs w:val="22"/>
        </w:rPr>
        <w:t xml:space="preserve">della legge di conversione del DL </w:t>
      </w:r>
      <w:r w:rsidR="003A5BAA" w:rsidRPr="008C1727">
        <w:rPr>
          <w:rFonts w:ascii="Calibri" w:hAnsi="Calibri" w:cs="Calibri"/>
          <w:sz w:val="22"/>
          <w:szCs w:val="22"/>
        </w:rPr>
        <w:t>“</w:t>
      </w:r>
      <w:r w:rsidRPr="008C1727">
        <w:rPr>
          <w:rFonts w:ascii="Calibri" w:hAnsi="Calibri" w:cs="Calibri"/>
          <w:sz w:val="22"/>
          <w:szCs w:val="22"/>
        </w:rPr>
        <w:t>Rilancio</w:t>
      </w:r>
      <w:r w:rsidR="003A5BAA" w:rsidRPr="008C1727">
        <w:rPr>
          <w:rFonts w:ascii="Calibri" w:hAnsi="Calibri" w:cs="Calibri"/>
          <w:sz w:val="22"/>
          <w:szCs w:val="22"/>
        </w:rPr>
        <w:t>”</w:t>
      </w:r>
      <w:r w:rsidRPr="008C1727">
        <w:rPr>
          <w:rFonts w:ascii="Calibri" w:hAnsi="Calibri" w:cs="Calibri"/>
          <w:sz w:val="22"/>
          <w:szCs w:val="22"/>
        </w:rPr>
        <w:t>, attesa entro il 18 luglio 2020</w:t>
      </w:r>
      <w:r w:rsidR="003A5BAA" w:rsidRPr="008C1727">
        <w:rPr>
          <w:rFonts w:ascii="Calibri" w:hAnsi="Calibri" w:cs="Calibri"/>
          <w:sz w:val="22"/>
          <w:szCs w:val="22"/>
        </w:rPr>
        <w:t>.</w:t>
      </w:r>
    </w:p>
    <w:p w14:paraId="05FC9F03" w14:textId="77777777" w:rsidR="00F718A4" w:rsidRPr="008C1727" w:rsidRDefault="00F718A4" w:rsidP="00FE5704">
      <w:pPr>
        <w:tabs>
          <w:tab w:val="left" w:pos="1515"/>
        </w:tabs>
        <w:jc w:val="both"/>
        <w:rPr>
          <w:rFonts w:ascii="Calibri" w:hAnsi="Calibri" w:cs="Calibri"/>
          <w:sz w:val="22"/>
          <w:szCs w:val="22"/>
        </w:rPr>
      </w:pPr>
    </w:p>
    <w:p w14:paraId="5FD929A1" w14:textId="77777777" w:rsidR="00994DE8" w:rsidRPr="008C1727" w:rsidRDefault="00994DE8" w:rsidP="00F718A4">
      <w:pPr>
        <w:pStyle w:val="NormaleWeb"/>
        <w:jc w:val="both"/>
        <w:rPr>
          <w:rFonts w:ascii="Calibri" w:hAnsi="Calibri" w:cs="Calibri"/>
          <w:sz w:val="22"/>
          <w:szCs w:val="22"/>
        </w:rPr>
      </w:pPr>
    </w:p>
    <w:p w14:paraId="291EDE81" w14:textId="77777777" w:rsidR="00994DE8" w:rsidRPr="00747106" w:rsidRDefault="00994DE8" w:rsidP="00994DE8">
      <w:pPr>
        <w:rPr>
          <w:rFonts w:ascii="Calibri" w:hAnsi="Calibri" w:cs="Calibri Light"/>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lastRenderedPageBreak/>
        <w:t xml:space="preserve">Valentina Vignaroli Tel. 075 5820209 – Cell. 338 6493886  </w:t>
      </w:r>
    </w:p>
    <w:p w14:paraId="0F8BBE07" w14:textId="77777777" w:rsidR="008009D5" w:rsidRPr="00350EF3"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350EF3">
        <w:rPr>
          <w:rFonts w:ascii="Calibri" w:hAnsi="Calibri" w:cs="Calibri"/>
          <w:sz w:val="22"/>
          <w:szCs w:val="22"/>
          <w:lang w:val="en-US"/>
        </w:rPr>
        <w:t xml:space="preserve">Email: </w:t>
      </w:r>
      <w:hyperlink r:id="rId8" w:history="1">
        <w:r w:rsidRPr="00350EF3">
          <w:rPr>
            <w:rFonts w:ascii="Calibri" w:hAnsi="Calibri" w:cs="Calibri"/>
            <w:color w:val="0000FF"/>
            <w:sz w:val="22"/>
            <w:szCs w:val="22"/>
            <w:u w:val="single"/>
            <w:lang w:val="en-US"/>
          </w:rPr>
          <w:t>vignaroli@confindustria.umbria.it</w:t>
        </w:r>
      </w:hyperlink>
      <w:r w:rsidRPr="00350EF3">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3888399D"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322729">
        <w:rPr>
          <w:rFonts w:ascii="Calibri" w:hAnsi="Calibri" w:cs="Calibri"/>
          <w:sz w:val="22"/>
          <w:szCs w:val="22"/>
        </w:rPr>
        <w:t>0</w:t>
      </w:r>
      <w:r w:rsidR="00F718A4">
        <w:rPr>
          <w:rFonts w:ascii="Calibri" w:hAnsi="Calibri" w:cs="Calibri"/>
          <w:sz w:val="22"/>
          <w:szCs w:val="22"/>
        </w:rPr>
        <w:t>2</w:t>
      </w:r>
      <w:r w:rsidR="00A66B46" w:rsidRPr="00A00EBE">
        <w:rPr>
          <w:rFonts w:ascii="Calibri" w:hAnsi="Calibri" w:cs="Calibri"/>
          <w:sz w:val="22"/>
          <w:szCs w:val="22"/>
        </w:rPr>
        <w:t>/0</w:t>
      </w:r>
      <w:r w:rsidR="00322729">
        <w:rPr>
          <w:rFonts w:ascii="Calibri" w:hAnsi="Calibri" w:cs="Calibri"/>
          <w:sz w:val="22"/>
          <w:szCs w:val="22"/>
        </w:rPr>
        <w:t>7</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A563" w14:textId="77777777" w:rsidR="008C1727" w:rsidRDefault="008C1727">
      <w:r>
        <w:separator/>
      </w:r>
    </w:p>
  </w:endnote>
  <w:endnote w:type="continuationSeparator" w:id="0">
    <w:p w14:paraId="283AEC55" w14:textId="77777777" w:rsidR="008C1727" w:rsidRDefault="008C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560EF" w14:textId="77777777" w:rsidR="008C1727" w:rsidRDefault="008C1727">
      <w:r>
        <w:separator/>
      </w:r>
    </w:p>
  </w:footnote>
  <w:footnote w:type="continuationSeparator" w:id="0">
    <w:p w14:paraId="5007AA95" w14:textId="77777777" w:rsidR="008C1727" w:rsidRDefault="008C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8C1727">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6"/>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5"/>
  </w:num>
  <w:num w:numId="23">
    <w:abstractNumId w:val="13"/>
  </w:num>
  <w:num w:numId="24">
    <w:abstractNumId w:val="8"/>
  </w:num>
  <w:num w:numId="25">
    <w:abstractNumId w:val="4"/>
  </w:num>
  <w:num w:numId="26">
    <w:abstractNumId w:val="6"/>
  </w:num>
  <w:num w:numId="2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85F"/>
    <w:rsid w:val="00091677"/>
    <w:rsid w:val="00094BA5"/>
    <w:rsid w:val="000A39AE"/>
    <w:rsid w:val="000B06C6"/>
    <w:rsid w:val="000B2103"/>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729"/>
    <w:rsid w:val="00322EE8"/>
    <w:rsid w:val="00326815"/>
    <w:rsid w:val="003347DC"/>
    <w:rsid w:val="003360E9"/>
    <w:rsid w:val="0034265F"/>
    <w:rsid w:val="00350EF3"/>
    <w:rsid w:val="00363BF8"/>
    <w:rsid w:val="00377E37"/>
    <w:rsid w:val="00385BAE"/>
    <w:rsid w:val="003944BF"/>
    <w:rsid w:val="00395392"/>
    <w:rsid w:val="003A5BAA"/>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3700B"/>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15415"/>
    <w:rsid w:val="00E20570"/>
    <w:rsid w:val="00E209CB"/>
    <w:rsid w:val="00E25D34"/>
    <w:rsid w:val="00E273B4"/>
    <w:rsid w:val="00E31E8B"/>
    <w:rsid w:val="00E36D39"/>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276</TotalTime>
  <Pages>2</Pages>
  <Words>454</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3036</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53</cp:revision>
  <cp:lastPrinted>2019-02-27T17:41:00Z</cp:lastPrinted>
  <dcterms:created xsi:type="dcterms:W3CDTF">2020-03-10T08:33:00Z</dcterms:created>
  <dcterms:modified xsi:type="dcterms:W3CDTF">2020-07-02T15:15:00Z</dcterms:modified>
</cp:coreProperties>
</file>