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A08C9" w14:textId="19D08506" w:rsidR="00532080" w:rsidRPr="00756945" w:rsidRDefault="002B73C8" w:rsidP="00532080">
      <w:pPr>
        <w:autoSpaceDE w:val="0"/>
        <w:autoSpaceDN w:val="0"/>
        <w:adjustRightInd w:val="0"/>
        <w:jc w:val="both"/>
        <w:rPr>
          <w:rFonts w:ascii="Calibri" w:hAnsi="Calibri" w:cs="Arial"/>
          <w:b/>
          <w:bCs/>
          <w:color w:val="000000"/>
          <w:sz w:val="22"/>
          <w:szCs w:val="22"/>
        </w:rPr>
      </w:pPr>
      <w:r>
        <w:rPr>
          <w:rFonts w:ascii="Calibri" w:hAnsi="Calibri" w:cs="Arial"/>
          <w:b/>
          <w:bCs/>
          <w:color w:val="000000"/>
          <w:sz w:val="22"/>
          <w:szCs w:val="22"/>
        </w:rPr>
        <w:pict w14:anchorId="036903AB">
          <v:shape id="Segno di sottrazione 5" o:spid="_x0000_s1026" style="position:absolute;left:0;text-align:left;margin-left:-73.75pt;margin-top:-24pt;width:599.25pt;height:3.6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" path="m1008768,17483r5592939,l6601707,28236r-5592939,l1008768,17483xe" fillcolor="#205394" strokecolor="#385d8a" strokeweight="1pt">
            <v:path arrowok="t" o:connecttype="custom" o:connectlocs="1008768,17483;6601707,17483;6601707,28236;1008768,28236;1008768,17483" o:connectangles="0,0,0,0,0"/>
          </v:shape>
        </w:pict>
      </w:r>
      <w:r w:rsidR="001E7C2D" w:rsidRPr="001E7C2D">
        <w:rPr>
          <w:rFonts w:ascii="Calibri" w:hAnsi="Calibri" w:cs="Arial"/>
          <w:b/>
          <w:bCs/>
          <w:color w:val="000000"/>
          <w:sz w:val="22"/>
          <w:szCs w:val="22"/>
        </w:rPr>
        <w:t xml:space="preserve">Gare </w:t>
      </w:r>
      <w:proofErr w:type="spellStart"/>
      <w:r w:rsidR="001E7C2D" w:rsidRPr="001E7C2D">
        <w:rPr>
          <w:rFonts w:ascii="Calibri" w:hAnsi="Calibri" w:cs="Arial"/>
          <w:b/>
          <w:bCs/>
          <w:color w:val="000000"/>
          <w:sz w:val="22"/>
          <w:szCs w:val="22"/>
        </w:rPr>
        <w:t>Asmel</w:t>
      </w:r>
      <w:proofErr w:type="spellEnd"/>
      <w:r w:rsidR="001E7C2D" w:rsidRPr="001E7C2D">
        <w:rPr>
          <w:rFonts w:ascii="Calibri" w:hAnsi="Calibri" w:cs="Arial"/>
          <w:b/>
          <w:bCs/>
          <w:color w:val="000000"/>
          <w:sz w:val="22"/>
          <w:szCs w:val="22"/>
        </w:rPr>
        <w:t>. La Corte di Giustizia UE: le centrali di committenza sono soltanto pubbliche</w:t>
      </w:r>
    </w:p>
    <w:p w14:paraId="1A70CC2F" w14:textId="769FDFF5" w:rsidR="00A549EE" w:rsidRPr="00756945" w:rsidRDefault="00A549EE" w:rsidP="00532080">
      <w:pPr>
        <w:autoSpaceDE w:val="0"/>
        <w:autoSpaceDN w:val="0"/>
        <w:adjustRightInd w:val="0"/>
        <w:jc w:val="both"/>
        <w:rPr>
          <w:rFonts w:ascii="Calibri" w:hAnsi="Calibri"/>
          <w:b/>
          <w:bCs/>
          <w:sz w:val="22"/>
          <w:szCs w:val="22"/>
        </w:rPr>
      </w:pPr>
    </w:p>
    <w:p w14:paraId="096C0E71" w14:textId="113A186A" w:rsidR="008E69DA" w:rsidRDefault="00640EB4" w:rsidP="008E69DA">
      <w:pPr>
        <w:shd w:val="clear" w:color="auto" w:fill="FFFFFF"/>
        <w:spacing w:line="240" w:lineRule="exact"/>
        <w:rPr>
          <w:rFonts w:ascii="Calibri" w:hAnsi="Calibri"/>
          <w:sz w:val="22"/>
          <w:szCs w:val="22"/>
        </w:rPr>
      </w:pPr>
      <w:r w:rsidRPr="00640EB4">
        <w:rPr>
          <w:rFonts w:ascii="Calibri" w:hAnsi="Calibri"/>
          <w:sz w:val="22"/>
          <w:szCs w:val="22"/>
        </w:rPr>
        <w:t xml:space="preserve">La sentenza C-3/19 chiarisce la controversia tra </w:t>
      </w:r>
      <w:proofErr w:type="spellStart"/>
      <w:r w:rsidRPr="00640EB4">
        <w:rPr>
          <w:rFonts w:ascii="Calibri" w:hAnsi="Calibri"/>
          <w:sz w:val="22"/>
          <w:szCs w:val="22"/>
        </w:rPr>
        <w:t>Anac</w:t>
      </w:r>
      <w:proofErr w:type="spellEnd"/>
      <w:r w:rsidRPr="00640EB4">
        <w:rPr>
          <w:rFonts w:ascii="Calibri" w:hAnsi="Calibri"/>
          <w:sz w:val="22"/>
          <w:szCs w:val="22"/>
        </w:rPr>
        <w:t xml:space="preserve"> e </w:t>
      </w:r>
      <w:proofErr w:type="spellStart"/>
      <w:r w:rsidRPr="00640EB4">
        <w:rPr>
          <w:rFonts w:ascii="Calibri" w:hAnsi="Calibri"/>
          <w:sz w:val="22"/>
          <w:szCs w:val="22"/>
        </w:rPr>
        <w:t>Asmel</w:t>
      </w:r>
      <w:proofErr w:type="spellEnd"/>
    </w:p>
    <w:p w14:paraId="7CC7638F" w14:textId="77777777" w:rsidR="00640EB4" w:rsidRPr="00756945" w:rsidRDefault="00640EB4" w:rsidP="008E69DA">
      <w:pPr>
        <w:shd w:val="clear" w:color="auto" w:fill="FFFFFF"/>
        <w:spacing w:line="240" w:lineRule="exact"/>
        <w:rPr>
          <w:rFonts w:ascii="Calibri" w:hAnsi="Calibri"/>
          <w:sz w:val="22"/>
          <w:szCs w:val="22"/>
        </w:rPr>
      </w:pPr>
    </w:p>
    <w:p w14:paraId="3C9A471F" w14:textId="69BE8F6E" w:rsidR="001E7C2D" w:rsidRPr="002B73C8" w:rsidRDefault="001E7C2D" w:rsidP="001E7C2D">
      <w:pPr>
        <w:shd w:val="clear" w:color="auto" w:fill="FFFFFF"/>
        <w:spacing w:line="276" w:lineRule="auto"/>
        <w:jc w:val="both"/>
        <w:rPr>
          <w:rFonts w:ascii="Calibri" w:hAnsi="Calibri" w:cs="Calibri"/>
          <w:sz w:val="22"/>
          <w:szCs w:val="22"/>
          <w:u w:val="single"/>
        </w:rPr>
      </w:pPr>
      <w:r w:rsidRPr="002B73C8">
        <w:rPr>
          <w:rFonts w:ascii="Calibri" w:hAnsi="Calibri" w:cs="Calibri"/>
          <w:b/>
          <w:sz w:val="22"/>
          <w:szCs w:val="22"/>
          <w:u w:val="single"/>
        </w:rPr>
        <w:t>La vicenda</w:t>
      </w:r>
    </w:p>
    <w:p w14:paraId="05A73DD1" w14:textId="77777777" w:rsidR="001E7C2D" w:rsidRPr="002B73C8" w:rsidRDefault="001E7C2D" w:rsidP="001E7C2D">
      <w:pPr>
        <w:shd w:val="clear" w:color="auto" w:fill="FFFFFF"/>
        <w:spacing w:line="276" w:lineRule="auto"/>
        <w:jc w:val="both"/>
        <w:rPr>
          <w:rFonts w:ascii="Calibri" w:hAnsi="Calibri" w:cs="Calibri"/>
          <w:sz w:val="22"/>
          <w:szCs w:val="22"/>
        </w:rPr>
      </w:pPr>
      <w:r w:rsidRPr="002B73C8">
        <w:rPr>
          <w:rFonts w:ascii="Calibri" w:hAnsi="Calibri" w:cs="Calibri"/>
          <w:sz w:val="22"/>
          <w:szCs w:val="22"/>
        </w:rPr>
        <w:t xml:space="preserve">Con la recente </w:t>
      </w:r>
      <w:r w:rsidRPr="002B73C8">
        <w:rPr>
          <w:rFonts w:ascii="Calibri" w:hAnsi="Calibri" w:cs="Calibri"/>
          <w:b/>
          <w:sz w:val="22"/>
          <w:szCs w:val="22"/>
        </w:rPr>
        <w:t xml:space="preserve">sentenza C-3/19, ASMEL </w:t>
      </w:r>
      <w:proofErr w:type="spellStart"/>
      <w:r w:rsidRPr="002B73C8">
        <w:rPr>
          <w:rFonts w:ascii="Calibri" w:hAnsi="Calibri" w:cs="Calibri"/>
          <w:b/>
          <w:sz w:val="22"/>
          <w:szCs w:val="22"/>
        </w:rPr>
        <w:t>Soc</w:t>
      </w:r>
      <w:proofErr w:type="spellEnd"/>
      <w:r w:rsidRPr="002B73C8">
        <w:rPr>
          <w:rFonts w:ascii="Calibri" w:hAnsi="Calibri" w:cs="Calibri"/>
          <w:b/>
          <w:sz w:val="22"/>
          <w:szCs w:val="22"/>
        </w:rPr>
        <w:t xml:space="preserve">. cons. a </w:t>
      </w:r>
      <w:proofErr w:type="spellStart"/>
      <w:r w:rsidRPr="002B73C8">
        <w:rPr>
          <w:rFonts w:ascii="Calibri" w:hAnsi="Calibri" w:cs="Calibri"/>
          <w:b/>
          <w:sz w:val="22"/>
          <w:szCs w:val="22"/>
        </w:rPr>
        <w:t>r.l</w:t>
      </w:r>
      <w:proofErr w:type="spellEnd"/>
      <w:r w:rsidRPr="002B73C8">
        <w:rPr>
          <w:rFonts w:ascii="Calibri" w:hAnsi="Calibri" w:cs="Calibri"/>
          <w:b/>
          <w:sz w:val="22"/>
          <w:szCs w:val="22"/>
        </w:rPr>
        <w:t xml:space="preserve"> vs. ANAC</w:t>
      </w:r>
      <w:r w:rsidRPr="002B73C8">
        <w:rPr>
          <w:rFonts w:ascii="Calibri" w:hAnsi="Calibri" w:cs="Calibri"/>
          <w:sz w:val="22"/>
          <w:szCs w:val="22"/>
        </w:rPr>
        <w:t xml:space="preserve">, la seconda sezione della Corte di Giustizia avvia alla conclusione la complessa controversia tra ASMEL S. c. a r.l. e l’ANAC originatasi a seguito dell’adozione della delibera n. 32 del 30 aprile 2015, con la quale l’Autorità </w:t>
      </w:r>
      <w:r w:rsidRPr="002B73C8">
        <w:rPr>
          <w:rFonts w:ascii="Calibri" w:hAnsi="Calibri" w:cs="Calibri"/>
          <w:b/>
          <w:sz w:val="22"/>
          <w:szCs w:val="22"/>
        </w:rPr>
        <w:t>ha inibito ad ASMEL lo svolgimento di attività di intermediazione negli acquisti pubblici ed ha ritenuto prive del presupposto di legittimazione</w:t>
      </w:r>
      <w:r w:rsidRPr="002B73C8">
        <w:rPr>
          <w:rFonts w:ascii="Calibri" w:hAnsi="Calibri" w:cs="Calibri"/>
          <w:sz w:val="22"/>
          <w:szCs w:val="22"/>
        </w:rPr>
        <w:t xml:space="preserve"> le gare già condotte da quest’ultima, per via dell’inosservanza dei modelli organizzativi per le centrali di committenza previsti dal diritto nazionale, ossia, segnatamente, </w:t>
      </w:r>
      <w:r w:rsidRPr="002B73C8">
        <w:rPr>
          <w:rFonts w:ascii="Calibri" w:hAnsi="Calibri" w:cs="Calibri"/>
          <w:b/>
          <w:sz w:val="22"/>
          <w:szCs w:val="22"/>
        </w:rPr>
        <w:t>dall’articolo 33, comma 3 </w:t>
      </w:r>
      <w:r w:rsidRPr="002B73C8">
        <w:rPr>
          <w:rFonts w:ascii="Calibri" w:hAnsi="Calibri" w:cs="Calibri"/>
          <w:b/>
          <w:i/>
          <w:sz w:val="22"/>
          <w:szCs w:val="22"/>
        </w:rPr>
        <w:t>bis</w:t>
      </w:r>
      <w:r w:rsidRPr="002B73C8">
        <w:rPr>
          <w:rFonts w:ascii="Calibri" w:hAnsi="Calibri" w:cs="Calibri"/>
          <w:b/>
          <w:sz w:val="22"/>
          <w:szCs w:val="22"/>
        </w:rPr>
        <w:t>, del d.lgs. 163/2006</w:t>
      </w:r>
      <w:r w:rsidRPr="002B73C8">
        <w:rPr>
          <w:rFonts w:ascii="Calibri" w:hAnsi="Calibri" w:cs="Calibri"/>
          <w:sz w:val="22"/>
          <w:szCs w:val="22"/>
        </w:rPr>
        <w:t xml:space="preserve"> (applicabile </w:t>
      </w:r>
      <w:proofErr w:type="spellStart"/>
      <w:r w:rsidRPr="002B73C8">
        <w:rPr>
          <w:rFonts w:ascii="Calibri" w:hAnsi="Calibri" w:cs="Calibri"/>
          <w:i/>
          <w:sz w:val="22"/>
          <w:szCs w:val="22"/>
        </w:rPr>
        <w:t>ratione</w:t>
      </w:r>
      <w:proofErr w:type="spellEnd"/>
      <w:r w:rsidRPr="002B73C8">
        <w:rPr>
          <w:rFonts w:ascii="Calibri" w:hAnsi="Calibri" w:cs="Calibri"/>
          <w:i/>
          <w:sz w:val="22"/>
          <w:szCs w:val="22"/>
        </w:rPr>
        <w:t xml:space="preserve"> </w:t>
      </w:r>
      <w:proofErr w:type="spellStart"/>
      <w:r w:rsidRPr="002B73C8">
        <w:rPr>
          <w:rFonts w:ascii="Calibri" w:hAnsi="Calibri" w:cs="Calibri"/>
          <w:i/>
          <w:sz w:val="22"/>
          <w:szCs w:val="22"/>
        </w:rPr>
        <w:t>tempori</w:t>
      </w:r>
      <w:r w:rsidRPr="002B73C8">
        <w:rPr>
          <w:rFonts w:ascii="Calibri" w:hAnsi="Calibri" w:cs="Calibri"/>
          <w:sz w:val="22"/>
          <w:szCs w:val="22"/>
        </w:rPr>
        <w:t>s</w:t>
      </w:r>
      <w:proofErr w:type="spellEnd"/>
      <w:r w:rsidRPr="002B73C8">
        <w:rPr>
          <w:rFonts w:ascii="Calibri" w:hAnsi="Calibri" w:cs="Calibri"/>
          <w:sz w:val="22"/>
          <w:szCs w:val="22"/>
        </w:rPr>
        <w:t xml:space="preserve"> alla vicenda in commento).</w:t>
      </w:r>
    </w:p>
    <w:p w14:paraId="7BFB2E53" w14:textId="77777777" w:rsidR="001E7C2D" w:rsidRPr="002B73C8" w:rsidRDefault="001E7C2D" w:rsidP="001E7C2D">
      <w:pPr>
        <w:shd w:val="clear" w:color="auto" w:fill="FFFFFF"/>
        <w:spacing w:line="276" w:lineRule="auto"/>
        <w:jc w:val="both"/>
        <w:rPr>
          <w:rFonts w:ascii="Calibri" w:hAnsi="Calibri" w:cs="Calibri"/>
          <w:sz w:val="22"/>
          <w:szCs w:val="22"/>
        </w:rPr>
      </w:pPr>
      <w:r w:rsidRPr="002B73C8">
        <w:rPr>
          <w:rFonts w:ascii="Calibri" w:hAnsi="Calibri" w:cs="Calibri"/>
          <w:sz w:val="22"/>
          <w:szCs w:val="22"/>
        </w:rPr>
        <w:t xml:space="preserve">Ciò in quanto, a parere dell’ANAC, ASMEL è un soggetto giuridico di natura privatistica, regolato dal Codice civile, laddove per le centrali di committenza viene imposta la forma pubblicistica (ente pubblico ovvero associazione di enti locali, quali unioni e consorzi di Comuni, nelle forme previste dal TUEL) o, in caso di ricorso a soggetti privati con funzioni di centralizzazione degli acquisti, la forma necessaria è quella della società </w:t>
      </w:r>
      <w:r w:rsidRPr="002B73C8">
        <w:rPr>
          <w:rFonts w:ascii="Calibri" w:hAnsi="Calibri" w:cs="Calibri"/>
          <w:i/>
          <w:sz w:val="22"/>
          <w:szCs w:val="22"/>
        </w:rPr>
        <w:t>in house</w:t>
      </w:r>
      <w:r w:rsidRPr="002B73C8">
        <w:rPr>
          <w:rFonts w:ascii="Calibri" w:hAnsi="Calibri" w:cs="Calibri"/>
          <w:sz w:val="22"/>
          <w:szCs w:val="22"/>
        </w:rPr>
        <w:t>, con un raggio di operatività limitato al territorio dei comuni fondatori; ciò mentre ASMEL non sarebbe sottoposta ad alcun “controllo analogo” da parte delle Amministrazioni servite.</w:t>
      </w:r>
    </w:p>
    <w:p w14:paraId="6E2D1737" w14:textId="77777777" w:rsidR="001E7C2D" w:rsidRPr="002B73C8" w:rsidRDefault="001E7C2D" w:rsidP="001E7C2D">
      <w:pPr>
        <w:shd w:val="clear" w:color="auto" w:fill="FFFFFF"/>
        <w:spacing w:line="276" w:lineRule="auto"/>
        <w:jc w:val="both"/>
        <w:rPr>
          <w:rFonts w:ascii="Calibri" w:hAnsi="Calibri" w:cs="Calibri"/>
          <w:sz w:val="22"/>
          <w:szCs w:val="22"/>
        </w:rPr>
      </w:pPr>
    </w:p>
    <w:p w14:paraId="52E09CEE" w14:textId="77777777" w:rsidR="001E7C2D" w:rsidRPr="002B73C8" w:rsidRDefault="001E7C2D" w:rsidP="001E7C2D">
      <w:pPr>
        <w:shd w:val="clear" w:color="auto" w:fill="FFFFFF"/>
        <w:spacing w:line="276" w:lineRule="auto"/>
        <w:jc w:val="both"/>
        <w:rPr>
          <w:rFonts w:ascii="Calibri" w:hAnsi="Calibri" w:cs="Calibri"/>
          <w:sz w:val="22"/>
          <w:szCs w:val="22"/>
        </w:rPr>
      </w:pPr>
      <w:r w:rsidRPr="002B73C8">
        <w:rPr>
          <w:rFonts w:ascii="Calibri" w:hAnsi="Calibri" w:cs="Calibri"/>
          <w:sz w:val="22"/>
          <w:szCs w:val="22"/>
        </w:rPr>
        <w:t xml:space="preserve">ASMEL ha quindi impugnato tale provvedimento dinanzi al </w:t>
      </w:r>
      <w:r w:rsidRPr="002B73C8">
        <w:rPr>
          <w:rFonts w:ascii="Calibri" w:hAnsi="Calibri" w:cs="Calibri"/>
          <w:b/>
          <w:sz w:val="22"/>
          <w:szCs w:val="22"/>
        </w:rPr>
        <w:t>TAR Lazio</w:t>
      </w:r>
      <w:r w:rsidRPr="002B73C8">
        <w:rPr>
          <w:rFonts w:ascii="Calibri" w:hAnsi="Calibri" w:cs="Calibri"/>
          <w:sz w:val="22"/>
          <w:szCs w:val="22"/>
        </w:rPr>
        <w:t xml:space="preserve">, ritenendo di poter assumere il ruolo di soggetto aggregatore di natura sostanzialmente pubblicistica in quanto “organismo di diritto pubblico”; tuttavia, il </w:t>
      </w:r>
      <w:r w:rsidRPr="002B73C8">
        <w:rPr>
          <w:rFonts w:ascii="Calibri" w:hAnsi="Calibri" w:cs="Calibri"/>
          <w:b/>
          <w:sz w:val="22"/>
          <w:szCs w:val="22"/>
        </w:rPr>
        <w:t>TAR territoriale ha respinto il ricorso</w:t>
      </w:r>
      <w:r w:rsidRPr="002B73C8">
        <w:rPr>
          <w:rFonts w:ascii="Calibri" w:hAnsi="Calibri" w:cs="Calibri"/>
          <w:sz w:val="22"/>
          <w:szCs w:val="22"/>
        </w:rPr>
        <w:t xml:space="preserve"> (TAR Lazio – Roma, sez. III – sentenza 22 febbraio 2016 n. 2339), </w:t>
      </w:r>
      <w:r w:rsidRPr="002B73C8">
        <w:rPr>
          <w:rFonts w:ascii="Calibri" w:hAnsi="Calibri" w:cs="Calibri"/>
          <w:b/>
          <w:sz w:val="22"/>
          <w:szCs w:val="22"/>
        </w:rPr>
        <w:t>non rilevando in capo ad ASMEL i requisiti dell’organismo di diritto pubblico e confermandone, anzi, l’estraneità ai modelli organizzativi</w:t>
      </w:r>
      <w:r w:rsidRPr="002B73C8">
        <w:rPr>
          <w:rFonts w:ascii="Calibri" w:hAnsi="Calibri" w:cs="Calibri"/>
          <w:sz w:val="22"/>
          <w:szCs w:val="22"/>
        </w:rPr>
        <w:t xml:space="preserve"> delle centrali di committenza normativamente previsti. </w:t>
      </w:r>
    </w:p>
    <w:p w14:paraId="0DF12B5C" w14:textId="77777777" w:rsidR="001E7C2D" w:rsidRPr="002B73C8" w:rsidRDefault="001E7C2D" w:rsidP="001E7C2D">
      <w:pPr>
        <w:shd w:val="clear" w:color="auto" w:fill="FFFFFF"/>
        <w:spacing w:line="276" w:lineRule="auto"/>
        <w:jc w:val="both"/>
        <w:rPr>
          <w:rFonts w:ascii="Calibri" w:hAnsi="Calibri" w:cs="Calibri"/>
          <w:sz w:val="22"/>
          <w:szCs w:val="22"/>
        </w:rPr>
      </w:pPr>
    </w:p>
    <w:p w14:paraId="7819142D" w14:textId="77777777" w:rsidR="001E7C2D" w:rsidRPr="002B73C8" w:rsidRDefault="001E7C2D" w:rsidP="001E7C2D">
      <w:pPr>
        <w:shd w:val="clear" w:color="auto" w:fill="FFFFFF"/>
        <w:spacing w:after="100" w:line="276" w:lineRule="auto"/>
        <w:jc w:val="both"/>
        <w:rPr>
          <w:rFonts w:ascii="Calibri" w:hAnsi="Calibri" w:cs="Calibri"/>
          <w:sz w:val="22"/>
          <w:szCs w:val="22"/>
        </w:rPr>
      </w:pPr>
      <w:r w:rsidRPr="002B73C8">
        <w:rPr>
          <w:rFonts w:ascii="Calibri" w:hAnsi="Calibri" w:cs="Calibri"/>
          <w:sz w:val="22"/>
          <w:szCs w:val="22"/>
        </w:rPr>
        <w:t>La pronuncia del TAR, quindi, è stata ulteriormente appellata da ASMEL al Consiglio di Stato, sostenendo, in particolare:</w:t>
      </w:r>
    </w:p>
    <w:p w14:paraId="7528058B" w14:textId="77777777" w:rsidR="001E7C2D" w:rsidRPr="002B73C8" w:rsidRDefault="001E7C2D" w:rsidP="001E7C2D">
      <w:pPr>
        <w:pStyle w:val="Paragrafoelenco"/>
        <w:numPr>
          <w:ilvl w:val="0"/>
          <w:numId w:val="14"/>
        </w:numPr>
        <w:shd w:val="clear" w:color="auto" w:fill="FFFFFF"/>
        <w:spacing w:after="100" w:line="276" w:lineRule="auto"/>
        <w:jc w:val="both"/>
        <w:rPr>
          <w:rFonts w:eastAsia="Times New Roman" w:cs="Calibri"/>
          <w:lang w:eastAsia="it-IT"/>
        </w:rPr>
      </w:pPr>
      <w:r w:rsidRPr="002B73C8">
        <w:rPr>
          <w:rFonts w:eastAsia="Times New Roman" w:cs="Calibri"/>
          <w:lang w:eastAsia="it-IT"/>
        </w:rPr>
        <w:t>da un lato, che il consorzio di diritto privato (forma giuridica di ASMEL Consortile) non presenta incompatibilità con le disposizioni del d.lgs. n. 163/2006 sulle centrali di committenza;</w:t>
      </w:r>
    </w:p>
    <w:p w14:paraId="1B69A7CD" w14:textId="77777777" w:rsidR="001E7C2D" w:rsidRPr="002B73C8" w:rsidRDefault="001E7C2D" w:rsidP="001E7C2D">
      <w:pPr>
        <w:pStyle w:val="Paragrafoelenco"/>
        <w:numPr>
          <w:ilvl w:val="0"/>
          <w:numId w:val="14"/>
        </w:numPr>
        <w:shd w:val="clear" w:color="auto" w:fill="FFFFFF"/>
        <w:spacing w:after="200" w:line="276" w:lineRule="auto"/>
        <w:jc w:val="both"/>
        <w:rPr>
          <w:rFonts w:eastAsia="Times New Roman" w:cs="Calibri"/>
          <w:lang w:eastAsia="it-IT"/>
        </w:rPr>
      </w:pPr>
      <w:r w:rsidRPr="002B73C8">
        <w:rPr>
          <w:rFonts w:eastAsia="Times New Roman" w:cs="Calibri"/>
          <w:lang w:eastAsia="it-IT"/>
        </w:rPr>
        <w:t>dall’altro lato, che la normativa nazionale non impone alcuna limitazione territoriale all’operatività delle centrali di committenza.</w:t>
      </w:r>
    </w:p>
    <w:p w14:paraId="3F571227" w14:textId="77777777" w:rsidR="001E7C2D" w:rsidRPr="002B73C8" w:rsidRDefault="001E7C2D" w:rsidP="001E7C2D">
      <w:pPr>
        <w:shd w:val="clear" w:color="auto" w:fill="FFFFFF"/>
        <w:spacing w:line="276" w:lineRule="auto"/>
        <w:jc w:val="both"/>
        <w:rPr>
          <w:rFonts w:ascii="Calibri" w:hAnsi="Calibri" w:cs="Calibri"/>
          <w:sz w:val="22"/>
          <w:szCs w:val="22"/>
        </w:rPr>
      </w:pPr>
      <w:r w:rsidRPr="002B73C8">
        <w:rPr>
          <w:rFonts w:ascii="Calibri" w:hAnsi="Calibri" w:cs="Calibri"/>
          <w:sz w:val="22"/>
          <w:szCs w:val="22"/>
        </w:rPr>
        <w:t>Nell’</w:t>
      </w:r>
      <w:r w:rsidRPr="002B73C8">
        <w:rPr>
          <w:rFonts w:ascii="Calibri" w:hAnsi="Calibri" w:cs="Calibri"/>
          <w:b/>
          <w:sz w:val="22"/>
          <w:szCs w:val="22"/>
        </w:rPr>
        <w:t xml:space="preserve">ordinanza di rinvio pregiudiziale </w:t>
      </w:r>
      <w:r w:rsidRPr="002B73C8">
        <w:rPr>
          <w:rFonts w:ascii="Calibri" w:hAnsi="Calibri" w:cs="Calibri"/>
          <w:sz w:val="22"/>
          <w:szCs w:val="22"/>
        </w:rPr>
        <w:t xml:space="preserve">(sez. V – ordinanza 3 gennaio 2019 n. 68), allora, il Consiglio di Stato ha dato immediatamente atto che il d. lgs. n. 163/2006 (all’art. 33, comma 3 </w:t>
      </w:r>
      <w:r w:rsidRPr="002B73C8">
        <w:rPr>
          <w:rFonts w:ascii="Calibri" w:hAnsi="Calibri" w:cs="Calibri"/>
          <w:i/>
          <w:sz w:val="22"/>
          <w:szCs w:val="22"/>
        </w:rPr>
        <w:t>bis</w:t>
      </w:r>
      <w:r w:rsidRPr="002B73C8">
        <w:rPr>
          <w:rFonts w:ascii="Calibri" w:hAnsi="Calibri" w:cs="Calibri"/>
          <w:sz w:val="22"/>
          <w:szCs w:val="22"/>
        </w:rPr>
        <w:t xml:space="preserve">) prevede che </w:t>
      </w:r>
      <w:r w:rsidRPr="002B73C8">
        <w:rPr>
          <w:rFonts w:ascii="Calibri" w:hAnsi="Calibri" w:cs="Calibri"/>
          <w:b/>
          <w:sz w:val="22"/>
          <w:szCs w:val="22"/>
        </w:rPr>
        <w:t>i piccoli comuni possano rivolgersi a centrali di committenza configurate solo secondo due precisi modelli organizzativi</w:t>
      </w:r>
      <w:r w:rsidRPr="002B73C8">
        <w:rPr>
          <w:rFonts w:ascii="Calibri" w:hAnsi="Calibri" w:cs="Calibri"/>
          <w:sz w:val="22"/>
          <w:szCs w:val="22"/>
        </w:rPr>
        <w:t>, vale a dire quelli dell’</w:t>
      </w:r>
      <w:r w:rsidRPr="002B73C8">
        <w:rPr>
          <w:rFonts w:ascii="Calibri" w:hAnsi="Calibri" w:cs="Calibri"/>
          <w:b/>
          <w:sz w:val="22"/>
          <w:szCs w:val="22"/>
        </w:rPr>
        <w:t xml:space="preserve">unione dei comuni ovvero del consorzio tra enti locali </w:t>
      </w:r>
      <w:r w:rsidRPr="002B73C8">
        <w:rPr>
          <w:rFonts w:ascii="Calibri" w:hAnsi="Calibri" w:cs="Calibri"/>
          <w:sz w:val="22"/>
          <w:szCs w:val="22"/>
        </w:rPr>
        <w:t>(artt. 31 e 32 TUEL, d.lgs. n. 267/2000).</w:t>
      </w:r>
    </w:p>
    <w:p w14:paraId="0A60423B" w14:textId="77777777" w:rsidR="001E7C2D" w:rsidRPr="002B73C8" w:rsidRDefault="001E7C2D" w:rsidP="001E7C2D">
      <w:pPr>
        <w:shd w:val="clear" w:color="auto" w:fill="FFFFFF"/>
        <w:spacing w:line="276" w:lineRule="auto"/>
        <w:jc w:val="both"/>
        <w:rPr>
          <w:rFonts w:ascii="Calibri" w:hAnsi="Calibri" w:cs="Calibri"/>
          <w:sz w:val="22"/>
          <w:szCs w:val="22"/>
        </w:rPr>
      </w:pPr>
    </w:p>
    <w:p w14:paraId="29D97FAB" w14:textId="77777777" w:rsidR="001E7C2D" w:rsidRPr="002B73C8" w:rsidRDefault="001E7C2D" w:rsidP="001E7C2D">
      <w:pPr>
        <w:shd w:val="clear" w:color="auto" w:fill="FFFFFF"/>
        <w:spacing w:line="276" w:lineRule="auto"/>
        <w:jc w:val="both"/>
        <w:rPr>
          <w:rFonts w:ascii="Calibri" w:hAnsi="Calibri" w:cs="Calibri"/>
          <w:sz w:val="22"/>
          <w:szCs w:val="22"/>
        </w:rPr>
      </w:pPr>
      <w:r w:rsidRPr="002B73C8">
        <w:rPr>
          <w:rFonts w:ascii="Calibri" w:hAnsi="Calibri" w:cs="Calibri"/>
          <w:sz w:val="22"/>
          <w:szCs w:val="22"/>
        </w:rPr>
        <w:lastRenderedPageBreak/>
        <w:t xml:space="preserve">Ed è proprio intorno a questa limitazione che il Supremo Consesso, dubitando della legittimità comunitaria di tale normativa interna, </w:t>
      </w:r>
      <w:r w:rsidRPr="002B73C8">
        <w:rPr>
          <w:rFonts w:ascii="Calibri" w:hAnsi="Calibri" w:cs="Calibri"/>
          <w:b/>
          <w:sz w:val="22"/>
          <w:szCs w:val="22"/>
        </w:rPr>
        <w:t>ha sospeso il giudizio ed ha sottoposto la questione alla Corte di Giustizia</w:t>
      </w:r>
      <w:r w:rsidRPr="002B73C8">
        <w:rPr>
          <w:rFonts w:ascii="Calibri" w:hAnsi="Calibri" w:cs="Calibri"/>
          <w:sz w:val="22"/>
          <w:szCs w:val="22"/>
        </w:rPr>
        <w:t>, sollevando i seguenti interrogativi:</w:t>
      </w:r>
    </w:p>
    <w:p w14:paraId="1803795F" w14:textId="77777777" w:rsidR="001E7C2D" w:rsidRPr="002B73C8" w:rsidRDefault="001E7C2D" w:rsidP="001E7C2D">
      <w:pPr>
        <w:pStyle w:val="Paragrafoelenco"/>
        <w:numPr>
          <w:ilvl w:val="0"/>
          <w:numId w:val="8"/>
        </w:numPr>
        <w:shd w:val="clear" w:color="auto" w:fill="FFFFFF"/>
        <w:spacing w:after="0" w:line="276" w:lineRule="auto"/>
        <w:jc w:val="both"/>
        <w:rPr>
          <w:rFonts w:eastAsia="Times New Roman" w:cs="Calibri"/>
          <w:lang w:eastAsia="it-IT"/>
        </w:rPr>
      </w:pPr>
      <w:r w:rsidRPr="002B73C8">
        <w:rPr>
          <w:rFonts w:eastAsia="Times New Roman" w:cs="Calibri"/>
          <w:lang w:eastAsia="it-IT"/>
        </w:rPr>
        <w:t xml:space="preserve">se la richiamata disposizione del previgente codice, nella parte in cui </w:t>
      </w:r>
      <w:r w:rsidRPr="002B73C8">
        <w:rPr>
          <w:rFonts w:eastAsia="Times New Roman" w:cs="Calibri"/>
          <w:b/>
          <w:lang w:eastAsia="it-IT"/>
        </w:rPr>
        <w:t xml:space="preserve">limita l’autonomia dei comuni nella scelta tra due soli modelli organizzativi </w:t>
      </w:r>
      <w:r w:rsidRPr="002B73C8">
        <w:rPr>
          <w:rFonts w:eastAsia="Times New Roman" w:cs="Calibri"/>
          <w:lang w:eastAsia="it-IT"/>
        </w:rPr>
        <w:t xml:space="preserve">(unione di comuni o consorzio tra comuni), </w:t>
      </w:r>
      <w:r w:rsidRPr="002B73C8">
        <w:rPr>
          <w:rFonts w:eastAsia="Times New Roman" w:cs="Calibri"/>
          <w:b/>
          <w:lang w:eastAsia="it-IT"/>
        </w:rPr>
        <w:t xml:space="preserve">è contraria alle norme comunitarie </w:t>
      </w:r>
      <w:r w:rsidRPr="002B73C8">
        <w:rPr>
          <w:rFonts w:eastAsia="Times New Roman" w:cs="Calibri"/>
          <w:bCs/>
          <w:lang w:eastAsia="it-IT"/>
        </w:rPr>
        <w:t>(</w:t>
      </w:r>
      <w:r w:rsidRPr="002B73C8">
        <w:rPr>
          <w:rFonts w:eastAsia="Times New Roman" w:cs="Calibri"/>
          <w:lang w:eastAsia="it-IT"/>
        </w:rPr>
        <w:t>nello specifico, alla direttiva 2004/18, laddove prevede la possibilità di ricorrere a centrali di acquisto senza limiti quanto alle forme di cooperazione);</w:t>
      </w:r>
    </w:p>
    <w:p w14:paraId="5853F878" w14:textId="77777777" w:rsidR="001E7C2D" w:rsidRPr="002B73C8" w:rsidRDefault="001E7C2D" w:rsidP="001E7C2D">
      <w:pPr>
        <w:pStyle w:val="Paragrafoelenco"/>
        <w:numPr>
          <w:ilvl w:val="0"/>
          <w:numId w:val="8"/>
        </w:numPr>
        <w:shd w:val="clear" w:color="auto" w:fill="FFFFFF"/>
        <w:spacing w:after="0" w:line="276" w:lineRule="auto"/>
        <w:jc w:val="both"/>
        <w:rPr>
          <w:rFonts w:eastAsia="Times New Roman" w:cs="Calibri"/>
          <w:lang w:eastAsia="it-IT"/>
        </w:rPr>
      </w:pPr>
      <w:r w:rsidRPr="002B73C8">
        <w:rPr>
          <w:rFonts w:eastAsia="Times New Roman" w:cs="Calibri"/>
          <w:lang w:eastAsia="it-IT"/>
        </w:rPr>
        <w:t xml:space="preserve">se tale norma confligga con i principi di libera circolazione dei servizi e di massima concorrenza laddove, in relazione al modello organizzativo dei consorzi di comuni, </w:t>
      </w:r>
      <w:r w:rsidRPr="002B73C8">
        <w:rPr>
          <w:rFonts w:eastAsia="Times New Roman" w:cs="Calibri"/>
          <w:b/>
          <w:lang w:eastAsia="it-IT"/>
        </w:rPr>
        <w:t>esclude la possibilità di costituire figure di diritto privato</w:t>
      </w:r>
      <w:r w:rsidRPr="002B73C8">
        <w:rPr>
          <w:rFonts w:eastAsia="Times New Roman" w:cs="Calibri"/>
          <w:lang w:eastAsia="it-IT"/>
        </w:rPr>
        <w:t xml:space="preserve"> (quali il consorzio di diritto comune, con partecipazione anche di soggetti privati);</w:t>
      </w:r>
    </w:p>
    <w:p w14:paraId="286FEDF6" w14:textId="77777777" w:rsidR="001E7C2D" w:rsidRPr="002B73C8" w:rsidRDefault="001E7C2D" w:rsidP="001E7C2D">
      <w:pPr>
        <w:pStyle w:val="Paragrafoelenco"/>
        <w:numPr>
          <w:ilvl w:val="0"/>
          <w:numId w:val="8"/>
        </w:numPr>
        <w:shd w:val="clear" w:color="auto" w:fill="FFFFFF"/>
        <w:spacing w:after="0" w:line="276" w:lineRule="auto"/>
        <w:jc w:val="both"/>
        <w:rPr>
          <w:rFonts w:eastAsia="Times New Roman" w:cs="Calibri"/>
          <w:lang w:eastAsia="it-IT"/>
        </w:rPr>
      </w:pPr>
      <w:r w:rsidRPr="002B73C8">
        <w:rPr>
          <w:rFonts w:eastAsia="Times New Roman" w:cs="Calibri"/>
          <w:lang w:eastAsia="it-IT"/>
        </w:rPr>
        <w:t xml:space="preserve">se la predetta previsione sia in contrasto con i principi di libera circolazione dei servizi e di massima concorrenza, ove </w:t>
      </w:r>
      <w:r w:rsidRPr="002B73C8">
        <w:rPr>
          <w:rFonts w:eastAsia="Times New Roman" w:cs="Calibri"/>
          <w:b/>
          <w:lang w:eastAsia="it-IT"/>
        </w:rPr>
        <w:t>interpretata nel senso di consentire alle centrali di committenza di operare nel solo ambito territoriale</w:t>
      </w:r>
      <w:r w:rsidRPr="002B73C8">
        <w:rPr>
          <w:rFonts w:eastAsia="Times New Roman" w:cs="Calibri"/>
          <w:lang w:eastAsia="it-IT"/>
        </w:rPr>
        <w:t xml:space="preserve"> corrispondente a quello degli enti locali che le hanno istituite.</w:t>
      </w:r>
    </w:p>
    <w:p w14:paraId="6908AC17" w14:textId="77777777" w:rsidR="001E7C2D" w:rsidRPr="002B73C8" w:rsidRDefault="001E7C2D" w:rsidP="001E7C2D">
      <w:pPr>
        <w:shd w:val="clear" w:color="auto" w:fill="FFFFFF"/>
        <w:spacing w:line="276" w:lineRule="auto"/>
        <w:jc w:val="both"/>
        <w:rPr>
          <w:rFonts w:ascii="Calibri" w:hAnsi="Calibri" w:cs="Calibri"/>
          <w:sz w:val="22"/>
          <w:szCs w:val="22"/>
        </w:rPr>
      </w:pPr>
      <w:r w:rsidRPr="002B73C8">
        <w:rPr>
          <w:rFonts w:ascii="Calibri" w:hAnsi="Calibri" w:cs="Calibri"/>
          <w:sz w:val="22"/>
          <w:szCs w:val="22"/>
        </w:rPr>
        <w:t> </w:t>
      </w:r>
    </w:p>
    <w:p w14:paraId="0CBED144" w14:textId="15F17AF5" w:rsidR="001E7C2D" w:rsidRPr="002B73C8" w:rsidRDefault="001E7C2D" w:rsidP="001E7C2D">
      <w:pPr>
        <w:shd w:val="clear" w:color="auto" w:fill="FFFFFF"/>
        <w:spacing w:line="276" w:lineRule="auto"/>
        <w:jc w:val="both"/>
        <w:rPr>
          <w:rFonts w:ascii="Calibri" w:hAnsi="Calibri" w:cs="Calibri"/>
          <w:sz w:val="22"/>
          <w:szCs w:val="22"/>
          <w:u w:val="single"/>
        </w:rPr>
      </w:pPr>
      <w:r w:rsidRPr="002B73C8">
        <w:rPr>
          <w:rFonts w:ascii="Calibri" w:hAnsi="Calibri" w:cs="Calibri"/>
          <w:b/>
          <w:sz w:val="22"/>
          <w:szCs w:val="22"/>
          <w:u w:val="single"/>
        </w:rPr>
        <w:t>La decisione</w:t>
      </w:r>
    </w:p>
    <w:p w14:paraId="0F6EC831" w14:textId="77777777" w:rsidR="001E7C2D" w:rsidRPr="002B73C8" w:rsidRDefault="001E7C2D" w:rsidP="001E7C2D">
      <w:pPr>
        <w:shd w:val="clear" w:color="auto" w:fill="FFFFFF"/>
        <w:spacing w:line="276" w:lineRule="auto"/>
        <w:jc w:val="both"/>
        <w:rPr>
          <w:rFonts w:ascii="Calibri" w:hAnsi="Calibri" w:cs="Calibri"/>
          <w:sz w:val="22"/>
          <w:szCs w:val="22"/>
        </w:rPr>
      </w:pPr>
      <w:r w:rsidRPr="002B73C8">
        <w:rPr>
          <w:rFonts w:ascii="Calibri" w:hAnsi="Calibri" w:cs="Calibri"/>
          <w:sz w:val="22"/>
          <w:szCs w:val="22"/>
        </w:rPr>
        <w:t xml:space="preserve">In primo luogo, va chiarito che l’art. 33, comma 3 </w:t>
      </w:r>
      <w:r w:rsidRPr="002B73C8">
        <w:rPr>
          <w:rFonts w:ascii="Calibri" w:hAnsi="Calibri" w:cs="Calibri"/>
          <w:i/>
          <w:sz w:val="22"/>
          <w:szCs w:val="22"/>
        </w:rPr>
        <w:t>bis</w:t>
      </w:r>
      <w:r w:rsidRPr="002B73C8">
        <w:rPr>
          <w:rFonts w:ascii="Calibri" w:hAnsi="Calibri" w:cs="Calibri"/>
          <w:sz w:val="22"/>
          <w:szCs w:val="22"/>
        </w:rPr>
        <w:t xml:space="preserve"> del d.lgs. n. 163/2006 è stato naturalmente soppiantato dal Codice attualmente vigente e, nella particolare materia </w:t>
      </w:r>
      <w:r w:rsidRPr="002B73C8">
        <w:rPr>
          <w:rFonts w:ascii="Calibri" w:hAnsi="Calibri" w:cs="Calibri"/>
          <w:i/>
          <w:sz w:val="22"/>
          <w:szCs w:val="22"/>
        </w:rPr>
        <w:t>de qua</w:t>
      </w:r>
      <w:r w:rsidRPr="002B73C8">
        <w:rPr>
          <w:rFonts w:ascii="Calibri" w:hAnsi="Calibri" w:cs="Calibri"/>
          <w:sz w:val="22"/>
          <w:szCs w:val="22"/>
        </w:rPr>
        <w:t xml:space="preserve">, </w:t>
      </w:r>
      <w:r w:rsidRPr="002B73C8">
        <w:rPr>
          <w:rFonts w:ascii="Calibri" w:hAnsi="Calibri" w:cs="Calibri"/>
          <w:b/>
          <w:sz w:val="22"/>
          <w:szCs w:val="22"/>
        </w:rPr>
        <w:t>dall’art. 37, comma 4, d.lgs. n. 50/2016.</w:t>
      </w:r>
      <w:r w:rsidRPr="002B73C8">
        <w:rPr>
          <w:rFonts w:ascii="Calibri" w:hAnsi="Calibri" w:cs="Calibri"/>
          <w:sz w:val="22"/>
          <w:szCs w:val="22"/>
        </w:rPr>
        <w:t xml:space="preserve"> Tuttavia, quest’ultima norma (sostanzialmente confermativa di quella pregressa) risulta al momento inapplicabile, in quanto </w:t>
      </w:r>
      <w:r w:rsidRPr="002B73C8">
        <w:rPr>
          <w:rFonts w:ascii="Calibri" w:hAnsi="Calibri" w:cs="Calibri"/>
          <w:b/>
          <w:sz w:val="22"/>
          <w:szCs w:val="22"/>
        </w:rPr>
        <w:t>temporaneamente sospesa</w:t>
      </w:r>
      <w:r w:rsidRPr="002B73C8">
        <w:rPr>
          <w:rFonts w:ascii="Calibri" w:hAnsi="Calibri" w:cs="Calibri"/>
          <w:sz w:val="22"/>
          <w:szCs w:val="22"/>
        </w:rPr>
        <w:t xml:space="preserve">, sino alla fine dell’anno, dal D.L. “Sblocca cantieri” (n. 32/2019). </w:t>
      </w:r>
    </w:p>
    <w:p w14:paraId="2802B2E7" w14:textId="77777777" w:rsidR="001E7C2D" w:rsidRPr="002B73C8" w:rsidRDefault="001E7C2D" w:rsidP="001E7C2D">
      <w:pPr>
        <w:shd w:val="clear" w:color="auto" w:fill="FFFFFF"/>
        <w:spacing w:line="276" w:lineRule="auto"/>
        <w:jc w:val="both"/>
        <w:rPr>
          <w:rFonts w:ascii="Calibri" w:hAnsi="Calibri" w:cs="Calibri"/>
          <w:sz w:val="22"/>
          <w:szCs w:val="22"/>
        </w:rPr>
      </w:pPr>
    </w:p>
    <w:p w14:paraId="0A961D1D" w14:textId="77777777" w:rsidR="001E7C2D" w:rsidRPr="002B73C8" w:rsidRDefault="001E7C2D" w:rsidP="001E7C2D">
      <w:pPr>
        <w:shd w:val="clear" w:color="auto" w:fill="FFFFFF"/>
        <w:spacing w:line="276" w:lineRule="auto"/>
        <w:jc w:val="both"/>
        <w:rPr>
          <w:rFonts w:ascii="Calibri" w:hAnsi="Calibri" w:cs="Calibri"/>
          <w:sz w:val="22"/>
          <w:szCs w:val="22"/>
        </w:rPr>
      </w:pPr>
      <w:r w:rsidRPr="002B73C8">
        <w:rPr>
          <w:rFonts w:ascii="Calibri" w:hAnsi="Calibri" w:cs="Calibri"/>
          <w:sz w:val="22"/>
          <w:szCs w:val="22"/>
        </w:rPr>
        <w:t>Per tale ragione, quindi, la Corte di giustizia ha ritenuto che “</w:t>
      </w:r>
      <w:r w:rsidRPr="002B73C8">
        <w:rPr>
          <w:rFonts w:ascii="Calibri" w:hAnsi="Calibri" w:cs="Calibri"/>
          <w:i/>
          <w:sz w:val="22"/>
          <w:szCs w:val="22"/>
        </w:rPr>
        <w:t>il procedimento principale resta disciplinato da tale disposizione</w:t>
      </w:r>
      <w:r w:rsidRPr="002B73C8">
        <w:rPr>
          <w:rFonts w:ascii="Calibri" w:hAnsi="Calibri" w:cs="Calibri"/>
          <w:sz w:val="22"/>
          <w:szCs w:val="22"/>
        </w:rPr>
        <w:t>” (ossia l’art. 33 del codice previgente), ricusando così i dubbi sulla ricevibilità del ricorso manifestati dalla Commissione europea nel corso del giudizio.</w:t>
      </w:r>
    </w:p>
    <w:p w14:paraId="3BE7A92B" w14:textId="77777777" w:rsidR="001E7C2D" w:rsidRPr="002B73C8" w:rsidRDefault="001E7C2D" w:rsidP="001E7C2D">
      <w:pPr>
        <w:shd w:val="clear" w:color="auto" w:fill="FFFFFF"/>
        <w:spacing w:line="276" w:lineRule="auto"/>
        <w:jc w:val="both"/>
        <w:rPr>
          <w:rFonts w:ascii="Calibri" w:hAnsi="Calibri" w:cs="Calibri"/>
          <w:sz w:val="22"/>
          <w:szCs w:val="22"/>
        </w:rPr>
      </w:pPr>
    </w:p>
    <w:p w14:paraId="4151A2F9" w14:textId="77777777" w:rsidR="001E7C2D" w:rsidRPr="002B73C8" w:rsidRDefault="001E7C2D" w:rsidP="001E7C2D">
      <w:pPr>
        <w:shd w:val="clear" w:color="auto" w:fill="FFFFFF"/>
        <w:spacing w:line="276" w:lineRule="auto"/>
        <w:jc w:val="both"/>
        <w:rPr>
          <w:rFonts w:ascii="Calibri" w:hAnsi="Calibri" w:cs="Calibri"/>
          <w:sz w:val="22"/>
          <w:szCs w:val="22"/>
        </w:rPr>
      </w:pPr>
      <w:r w:rsidRPr="002B73C8">
        <w:rPr>
          <w:rFonts w:ascii="Calibri" w:hAnsi="Calibri" w:cs="Calibri"/>
          <w:sz w:val="22"/>
          <w:szCs w:val="22"/>
        </w:rPr>
        <w:t xml:space="preserve">Ciò posto, con riferimento alla </w:t>
      </w:r>
      <w:r w:rsidRPr="002B73C8">
        <w:rPr>
          <w:rFonts w:ascii="Calibri" w:hAnsi="Calibri" w:cs="Calibri"/>
          <w:b/>
          <w:sz w:val="22"/>
          <w:szCs w:val="22"/>
        </w:rPr>
        <w:t>prima questione</w:t>
      </w:r>
      <w:r w:rsidRPr="002B73C8">
        <w:rPr>
          <w:rFonts w:ascii="Calibri" w:hAnsi="Calibri" w:cs="Calibri"/>
          <w:sz w:val="22"/>
          <w:szCs w:val="22"/>
        </w:rPr>
        <w:t xml:space="preserve">, i Giudici comunitari hanno affermato che </w:t>
      </w:r>
      <w:r w:rsidRPr="002B73C8">
        <w:rPr>
          <w:rFonts w:ascii="Calibri" w:hAnsi="Calibri" w:cs="Calibri"/>
          <w:b/>
          <w:sz w:val="22"/>
          <w:szCs w:val="22"/>
        </w:rPr>
        <w:t>il diritto nazionale è autorizzato a limitare l’autonomia organizzativa degli enti locali</w:t>
      </w:r>
      <w:r w:rsidRPr="002B73C8">
        <w:rPr>
          <w:rFonts w:ascii="Calibri" w:hAnsi="Calibri" w:cs="Calibri"/>
          <w:sz w:val="22"/>
          <w:szCs w:val="22"/>
        </w:rPr>
        <w:t xml:space="preserve">, imponendo loro di ricorrere a centrali di committenza secondo </w:t>
      </w:r>
      <w:r w:rsidRPr="002B73C8">
        <w:rPr>
          <w:rFonts w:ascii="Calibri" w:hAnsi="Calibri" w:cs="Calibri"/>
          <w:b/>
          <w:sz w:val="22"/>
          <w:szCs w:val="22"/>
        </w:rPr>
        <w:t>soli due modelli di organizzazione</w:t>
      </w:r>
      <w:r w:rsidRPr="002B73C8">
        <w:rPr>
          <w:rFonts w:ascii="Calibri" w:hAnsi="Calibri" w:cs="Calibri"/>
          <w:sz w:val="22"/>
          <w:szCs w:val="22"/>
        </w:rPr>
        <w:t xml:space="preserve">, dal momento che l’unico limite che la  direttiva 2004/18 pone all’operatività delle centrali di committenza è che queste presentino la </w:t>
      </w:r>
      <w:r w:rsidRPr="002B73C8">
        <w:rPr>
          <w:rFonts w:ascii="Calibri" w:hAnsi="Calibri" w:cs="Calibri"/>
          <w:b/>
          <w:sz w:val="22"/>
          <w:szCs w:val="22"/>
        </w:rPr>
        <w:t>qualità di “amministrazione aggiudicatrice”</w:t>
      </w:r>
      <w:r w:rsidRPr="002B73C8">
        <w:rPr>
          <w:rFonts w:ascii="Calibri" w:hAnsi="Calibri" w:cs="Calibri"/>
          <w:sz w:val="22"/>
          <w:szCs w:val="22"/>
        </w:rPr>
        <w:t xml:space="preserve"> (e, ai sensi dell’articolo 1, paragrafo 9, della direttiva 2004/18, con tale espressione vengono designati lo Stato, gli enti pubblici territoriali, gli organismi di diritto pubblico e le associazioni costituite da uno o più di tali enti pubblici territoriali o da uno o più di tali organismi di diritto pubblico).</w:t>
      </w:r>
    </w:p>
    <w:p w14:paraId="73E607D1" w14:textId="77777777" w:rsidR="001E7C2D" w:rsidRPr="002B73C8" w:rsidRDefault="001E7C2D" w:rsidP="001E7C2D">
      <w:pPr>
        <w:shd w:val="clear" w:color="auto" w:fill="FFFFFF"/>
        <w:spacing w:after="100" w:line="276" w:lineRule="auto"/>
        <w:jc w:val="both"/>
        <w:rPr>
          <w:rFonts w:ascii="Calibri" w:hAnsi="Calibri" w:cs="Calibri"/>
          <w:sz w:val="22"/>
          <w:szCs w:val="22"/>
        </w:rPr>
      </w:pPr>
      <w:r w:rsidRPr="002B73C8">
        <w:rPr>
          <w:rFonts w:ascii="Calibri" w:hAnsi="Calibri" w:cs="Calibri"/>
          <w:sz w:val="22"/>
          <w:szCs w:val="22"/>
        </w:rPr>
        <w:t>Da tale rilievo, a parere della Corte, ne consegue che:</w:t>
      </w:r>
    </w:p>
    <w:p w14:paraId="5AC6C334" w14:textId="77777777" w:rsidR="001E7C2D" w:rsidRPr="002B73C8" w:rsidRDefault="001E7C2D" w:rsidP="001E7C2D">
      <w:pPr>
        <w:pStyle w:val="Paragrafoelenco"/>
        <w:numPr>
          <w:ilvl w:val="0"/>
          <w:numId w:val="9"/>
        </w:numPr>
        <w:shd w:val="clear" w:color="auto" w:fill="FFFFFF"/>
        <w:spacing w:after="0" w:line="276" w:lineRule="auto"/>
        <w:jc w:val="both"/>
        <w:rPr>
          <w:rFonts w:eastAsia="Times New Roman" w:cs="Calibri"/>
          <w:lang w:eastAsia="it-IT"/>
        </w:rPr>
      </w:pPr>
      <w:r w:rsidRPr="002B73C8">
        <w:rPr>
          <w:rFonts w:eastAsia="Times New Roman" w:cs="Calibri"/>
          <w:lang w:eastAsia="it-IT"/>
        </w:rPr>
        <w:t>la scelta di limitare il ricorso alle centrali di committenza a specifici modelli organizzativi rientra nel margine discrezionale proprio di ogni Stato membro; l’unico limite in tal senso imposto è, appunto, che tali modelli rivestano, tutti, la qualità di amministrazione aggiudicatrice;</w:t>
      </w:r>
    </w:p>
    <w:p w14:paraId="163B797C" w14:textId="77777777" w:rsidR="001E7C2D" w:rsidRPr="002B73C8" w:rsidRDefault="001E7C2D" w:rsidP="001E7C2D">
      <w:pPr>
        <w:pStyle w:val="Paragrafoelenco"/>
        <w:numPr>
          <w:ilvl w:val="0"/>
          <w:numId w:val="9"/>
        </w:numPr>
        <w:shd w:val="clear" w:color="auto" w:fill="FFFFFF"/>
        <w:spacing w:after="0" w:line="276" w:lineRule="auto"/>
        <w:jc w:val="both"/>
        <w:rPr>
          <w:rFonts w:eastAsia="Times New Roman" w:cs="Calibri"/>
          <w:lang w:eastAsia="it-IT"/>
        </w:rPr>
      </w:pPr>
      <w:r w:rsidRPr="002B73C8">
        <w:rPr>
          <w:rFonts w:eastAsia="Times New Roman" w:cs="Calibri"/>
          <w:lang w:eastAsia="it-IT"/>
        </w:rPr>
        <w:t xml:space="preserve">ad un soggetto privo di tale caratteristica la normativa nazionale </w:t>
      </w:r>
      <w:r w:rsidRPr="002B73C8">
        <w:rPr>
          <w:rFonts w:eastAsia="Times New Roman" w:cs="Calibri"/>
          <w:b/>
          <w:lang w:eastAsia="it-IT"/>
        </w:rPr>
        <w:t>non può accordare il ruolo di “centrale di committenza”</w:t>
      </w:r>
      <w:r w:rsidRPr="002B73C8">
        <w:rPr>
          <w:rFonts w:eastAsia="Times New Roman" w:cs="Calibri"/>
          <w:lang w:eastAsia="it-IT"/>
        </w:rPr>
        <w:t>.</w:t>
      </w:r>
    </w:p>
    <w:p w14:paraId="02B04A7D" w14:textId="77777777" w:rsidR="001E7C2D" w:rsidRPr="002B73C8" w:rsidRDefault="001E7C2D" w:rsidP="001E7C2D">
      <w:pPr>
        <w:pStyle w:val="Paragrafoelenco"/>
        <w:shd w:val="clear" w:color="auto" w:fill="FFFFFF"/>
        <w:spacing w:after="0" w:line="276" w:lineRule="auto"/>
        <w:ind w:left="795"/>
        <w:jc w:val="both"/>
        <w:rPr>
          <w:rFonts w:eastAsia="Times New Roman" w:cs="Calibri"/>
          <w:lang w:eastAsia="it-IT"/>
        </w:rPr>
      </w:pPr>
    </w:p>
    <w:p w14:paraId="402658FA" w14:textId="77777777" w:rsidR="001E7C2D" w:rsidRPr="002B73C8" w:rsidRDefault="001E7C2D" w:rsidP="001E7C2D">
      <w:pPr>
        <w:shd w:val="clear" w:color="auto" w:fill="FFFFFF"/>
        <w:spacing w:line="276" w:lineRule="auto"/>
        <w:jc w:val="both"/>
        <w:rPr>
          <w:rFonts w:ascii="Calibri" w:hAnsi="Calibri" w:cs="Calibri"/>
          <w:sz w:val="22"/>
          <w:szCs w:val="22"/>
        </w:rPr>
      </w:pPr>
      <w:r w:rsidRPr="002B73C8">
        <w:rPr>
          <w:rFonts w:ascii="Calibri" w:hAnsi="Calibri" w:cs="Calibri"/>
          <w:sz w:val="22"/>
          <w:szCs w:val="22"/>
        </w:rPr>
        <w:t xml:space="preserve">Quanto, poi, al </w:t>
      </w:r>
      <w:r w:rsidRPr="002B73C8">
        <w:rPr>
          <w:rFonts w:ascii="Calibri" w:hAnsi="Calibri" w:cs="Calibri"/>
          <w:b/>
          <w:sz w:val="22"/>
          <w:szCs w:val="22"/>
        </w:rPr>
        <w:t>secondo interrogativo</w:t>
      </w:r>
      <w:r w:rsidRPr="002B73C8">
        <w:rPr>
          <w:rFonts w:ascii="Calibri" w:hAnsi="Calibri" w:cs="Calibri"/>
          <w:sz w:val="22"/>
          <w:szCs w:val="22"/>
        </w:rPr>
        <w:t xml:space="preserve"> (che la Corte ha esaminato congiuntamente al primo), i Giudici hanno fatto nuovamente appello all’autonoma discrezionalità degli Stati membri, che ben </w:t>
      </w:r>
      <w:r w:rsidRPr="002B73C8">
        <w:rPr>
          <w:rFonts w:ascii="Calibri" w:hAnsi="Calibri" w:cs="Calibri"/>
          <w:b/>
          <w:sz w:val="22"/>
          <w:szCs w:val="22"/>
        </w:rPr>
        <w:t>possono prescrivere modelli di organizzazione di centrali di committenza aventi natura esclusivamente pubblica</w:t>
      </w:r>
      <w:r w:rsidRPr="002B73C8">
        <w:rPr>
          <w:rFonts w:ascii="Calibri" w:hAnsi="Calibri" w:cs="Calibri"/>
          <w:sz w:val="22"/>
          <w:szCs w:val="22"/>
        </w:rPr>
        <w:t>, senza la partecipazione anche di privati. Ciò, in quanto, essenzialmente:</w:t>
      </w:r>
    </w:p>
    <w:p w14:paraId="1A30582D" w14:textId="77777777" w:rsidR="001E7C2D" w:rsidRPr="002B73C8" w:rsidRDefault="001E7C2D" w:rsidP="001E7C2D">
      <w:pPr>
        <w:shd w:val="clear" w:color="auto" w:fill="FFFFFF"/>
        <w:spacing w:line="276" w:lineRule="auto"/>
        <w:jc w:val="both"/>
        <w:rPr>
          <w:rFonts w:ascii="Calibri" w:hAnsi="Calibri" w:cs="Calibri"/>
          <w:sz w:val="22"/>
          <w:szCs w:val="22"/>
        </w:rPr>
      </w:pPr>
    </w:p>
    <w:p w14:paraId="4BB3694C" w14:textId="77777777" w:rsidR="001E7C2D" w:rsidRPr="002B73C8" w:rsidRDefault="001E7C2D" w:rsidP="001E7C2D">
      <w:pPr>
        <w:pStyle w:val="Paragrafoelenco"/>
        <w:numPr>
          <w:ilvl w:val="0"/>
          <w:numId w:val="10"/>
        </w:numPr>
        <w:shd w:val="clear" w:color="auto" w:fill="FFFFFF"/>
        <w:spacing w:before="100" w:after="100" w:line="276" w:lineRule="auto"/>
        <w:jc w:val="both"/>
        <w:rPr>
          <w:rFonts w:eastAsia="Times New Roman" w:cs="Calibri"/>
          <w:lang w:eastAsia="it-IT"/>
        </w:rPr>
      </w:pPr>
      <w:r w:rsidRPr="002B73C8">
        <w:rPr>
          <w:rFonts w:eastAsia="Times New Roman" w:cs="Calibri"/>
          <w:lang w:eastAsia="it-IT"/>
        </w:rPr>
        <w:t>la scelta di modelli pubblicistici può essere funzionale a rispondere ad esigenze peculiari, proprie di ciascuno Stato membro (nel caso di specie, la difesa erariale ha evidenziato la necessità di prevenire il rischio di infiltrazioni mafiose nonché di prevedere uno strumento di controllo della spesa pubblica);</w:t>
      </w:r>
    </w:p>
    <w:p w14:paraId="3CDB763B" w14:textId="77777777" w:rsidR="001E7C2D" w:rsidRPr="002B73C8" w:rsidRDefault="001E7C2D" w:rsidP="001E7C2D">
      <w:pPr>
        <w:pStyle w:val="Paragrafoelenco"/>
        <w:numPr>
          <w:ilvl w:val="0"/>
          <w:numId w:val="10"/>
        </w:numPr>
        <w:shd w:val="clear" w:color="auto" w:fill="FFFFFF"/>
        <w:spacing w:after="0" w:line="276" w:lineRule="auto"/>
        <w:jc w:val="both"/>
        <w:rPr>
          <w:rFonts w:eastAsia="Times New Roman" w:cs="Calibri"/>
          <w:lang w:eastAsia="it-IT"/>
        </w:rPr>
      </w:pPr>
      <w:r w:rsidRPr="002B73C8">
        <w:rPr>
          <w:rFonts w:eastAsia="Times New Roman" w:cs="Calibri"/>
          <w:lang w:eastAsia="it-IT"/>
        </w:rPr>
        <w:t xml:space="preserve">in ogni caso, privilegiare modelli organizzativi pubblicistici non viola i principi di libera prestazione dei servizi e di apertura alla concorrenza, in quanto </w:t>
      </w:r>
      <w:r w:rsidRPr="002B73C8">
        <w:rPr>
          <w:rFonts w:eastAsia="Times New Roman" w:cs="Calibri"/>
          <w:b/>
          <w:lang w:eastAsia="it-IT"/>
        </w:rPr>
        <w:t>il settore esaminato esula da una logica concorrenziale</w:t>
      </w:r>
      <w:r w:rsidRPr="002B73C8">
        <w:rPr>
          <w:rFonts w:eastAsia="Times New Roman" w:cs="Calibri"/>
          <w:lang w:eastAsia="it-IT"/>
        </w:rPr>
        <w:t xml:space="preserve">: le centrali di committenza, avendo natura esclusivamente pubblica, </w:t>
      </w:r>
      <w:r w:rsidRPr="002B73C8">
        <w:rPr>
          <w:rFonts w:eastAsia="Times New Roman" w:cs="Calibri"/>
          <w:b/>
          <w:lang w:eastAsia="it-IT"/>
        </w:rPr>
        <w:t>non possono agire come operatori economici, perseguendo interessi commerciali</w:t>
      </w:r>
      <w:r w:rsidRPr="002B73C8">
        <w:rPr>
          <w:rFonts w:eastAsia="Times New Roman" w:cs="Calibri"/>
          <w:lang w:eastAsia="it-IT"/>
        </w:rPr>
        <w:t xml:space="preserve"> propri secondo criteri lucrativi; pertanto, la normativa nazionale esaminata non falsa in alcun modo il gioco concorrenziale, ed è ben conforme sia alle norme dei trattati che alla direttiva 2004/18.</w:t>
      </w:r>
    </w:p>
    <w:p w14:paraId="4A53854F" w14:textId="77777777" w:rsidR="001E7C2D" w:rsidRPr="002B73C8" w:rsidRDefault="001E7C2D" w:rsidP="001E7C2D">
      <w:pPr>
        <w:pStyle w:val="Paragrafoelenco"/>
        <w:shd w:val="clear" w:color="auto" w:fill="FFFFFF"/>
        <w:spacing w:after="0" w:line="276" w:lineRule="auto"/>
        <w:jc w:val="both"/>
        <w:rPr>
          <w:rFonts w:eastAsia="Times New Roman" w:cs="Calibri"/>
          <w:lang w:eastAsia="it-IT"/>
        </w:rPr>
      </w:pPr>
    </w:p>
    <w:p w14:paraId="012DF34E" w14:textId="77777777" w:rsidR="001E7C2D" w:rsidRPr="002B73C8" w:rsidRDefault="001E7C2D" w:rsidP="001E7C2D">
      <w:pPr>
        <w:shd w:val="clear" w:color="auto" w:fill="FFFFFF"/>
        <w:spacing w:line="276" w:lineRule="auto"/>
        <w:jc w:val="both"/>
        <w:rPr>
          <w:rFonts w:ascii="Calibri" w:hAnsi="Calibri" w:cs="Calibri"/>
          <w:sz w:val="22"/>
          <w:szCs w:val="22"/>
        </w:rPr>
      </w:pPr>
      <w:r w:rsidRPr="002B73C8">
        <w:rPr>
          <w:rFonts w:ascii="Calibri" w:hAnsi="Calibri" w:cs="Calibri"/>
          <w:sz w:val="22"/>
          <w:szCs w:val="22"/>
        </w:rPr>
        <w:t xml:space="preserve">Con riferimento poi alla </w:t>
      </w:r>
      <w:r w:rsidRPr="002B73C8">
        <w:rPr>
          <w:rFonts w:ascii="Calibri" w:hAnsi="Calibri" w:cs="Calibri"/>
          <w:b/>
          <w:sz w:val="22"/>
          <w:szCs w:val="22"/>
        </w:rPr>
        <w:t>terza questione</w:t>
      </w:r>
      <w:r w:rsidRPr="002B73C8">
        <w:rPr>
          <w:rFonts w:ascii="Calibri" w:hAnsi="Calibri" w:cs="Calibri"/>
          <w:sz w:val="22"/>
          <w:szCs w:val="22"/>
        </w:rPr>
        <w:t xml:space="preserve"> posta dal giudice del rinvio, anche </w:t>
      </w:r>
      <w:r w:rsidRPr="002B73C8">
        <w:rPr>
          <w:rFonts w:ascii="Calibri" w:hAnsi="Calibri" w:cs="Calibri"/>
          <w:b/>
          <w:sz w:val="22"/>
          <w:szCs w:val="22"/>
        </w:rPr>
        <w:t>l’eventuale limitazione dell’ambito di operatività territoriale</w:t>
      </w:r>
      <w:r w:rsidRPr="002B73C8">
        <w:rPr>
          <w:rFonts w:ascii="Calibri" w:hAnsi="Calibri" w:cs="Calibri"/>
          <w:sz w:val="22"/>
          <w:szCs w:val="22"/>
        </w:rPr>
        <w:t xml:space="preserve"> delle centrali di committenza ai rispettivi territori degli enti locali “fondatori” </w:t>
      </w:r>
      <w:r w:rsidRPr="002B73C8">
        <w:rPr>
          <w:rFonts w:ascii="Calibri" w:hAnsi="Calibri" w:cs="Calibri"/>
          <w:b/>
          <w:sz w:val="22"/>
          <w:szCs w:val="22"/>
        </w:rPr>
        <w:t>è</w:t>
      </w:r>
      <w:r w:rsidRPr="002B73C8">
        <w:rPr>
          <w:rFonts w:ascii="Calibri" w:hAnsi="Calibri" w:cs="Calibri"/>
          <w:sz w:val="22"/>
          <w:szCs w:val="22"/>
        </w:rPr>
        <w:t xml:space="preserve"> – secondo la Corte – </w:t>
      </w:r>
      <w:r w:rsidRPr="002B73C8">
        <w:rPr>
          <w:rFonts w:ascii="Calibri" w:hAnsi="Calibri" w:cs="Calibri"/>
          <w:b/>
          <w:sz w:val="22"/>
          <w:szCs w:val="22"/>
        </w:rPr>
        <w:t>comunitariamente compatibile</w:t>
      </w:r>
      <w:r w:rsidRPr="002B73C8">
        <w:rPr>
          <w:rFonts w:ascii="Calibri" w:hAnsi="Calibri" w:cs="Calibri"/>
          <w:sz w:val="22"/>
          <w:szCs w:val="22"/>
        </w:rPr>
        <w:t>; tale limitazione, infatti:</w:t>
      </w:r>
    </w:p>
    <w:p w14:paraId="5ADBB560" w14:textId="77777777" w:rsidR="001E7C2D" w:rsidRPr="002B73C8" w:rsidRDefault="001E7C2D" w:rsidP="001E7C2D">
      <w:pPr>
        <w:numPr>
          <w:ilvl w:val="0"/>
          <w:numId w:val="13"/>
        </w:numPr>
        <w:shd w:val="clear" w:color="auto" w:fill="FFFFFF"/>
        <w:spacing w:after="200" w:line="276" w:lineRule="auto"/>
        <w:contextualSpacing/>
        <w:jc w:val="both"/>
        <w:rPr>
          <w:rFonts w:ascii="Calibri" w:hAnsi="Calibri" w:cs="Calibri"/>
          <w:sz w:val="22"/>
          <w:szCs w:val="22"/>
        </w:rPr>
      </w:pPr>
      <w:r w:rsidRPr="002B73C8">
        <w:rPr>
          <w:rFonts w:ascii="Calibri" w:hAnsi="Calibri" w:cs="Calibri"/>
          <w:sz w:val="22"/>
          <w:szCs w:val="22"/>
        </w:rPr>
        <w:t>ha lo scopo di assicurare che le centrali di committenza agiscano nell’interesse pubblico degli enti aderenti e non nel loro proprio interesse commerciale (operando anche al di là delle aree territoriali delle Amministrazioni istitutrici, questo rischio potrebbe sussistere);</w:t>
      </w:r>
    </w:p>
    <w:p w14:paraId="39CA0D00" w14:textId="77777777" w:rsidR="001E7C2D" w:rsidRPr="002B73C8" w:rsidRDefault="001E7C2D" w:rsidP="001E7C2D">
      <w:pPr>
        <w:numPr>
          <w:ilvl w:val="0"/>
          <w:numId w:val="13"/>
        </w:numPr>
        <w:shd w:val="clear" w:color="auto" w:fill="FFFFFF"/>
        <w:spacing w:line="276" w:lineRule="auto"/>
        <w:contextualSpacing/>
        <w:jc w:val="both"/>
        <w:rPr>
          <w:rFonts w:ascii="Calibri" w:hAnsi="Calibri" w:cs="Calibri"/>
          <w:sz w:val="22"/>
          <w:szCs w:val="22"/>
        </w:rPr>
      </w:pPr>
      <w:r w:rsidRPr="002B73C8">
        <w:rPr>
          <w:rFonts w:ascii="Calibri" w:hAnsi="Calibri" w:cs="Calibri"/>
          <w:sz w:val="22"/>
          <w:szCs w:val="22"/>
        </w:rPr>
        <w:t>non creerebbe alcuna “zona di operatività esclusiva” per le centrali di committenza e, per l’effetto, non vi sarebbe pericolo di falsare il gioco concorrenziale, atteso che – come già osservato in merito alla seconda questione – le centrali di committenza prescindono da logiche competitive e di mercato.</w:t>
      </w:r>
    </w:p>
    <w:p w14:paraId="1761983D" w14:textId="77777777" w:rsidR="001E7C2D" w:rsidRPr="002B73C8" w:rsidRDefault="001E7C2D" w:rsidP="001E7C2D">
      <w:pPr>
        <w:shd w:val="clear" w:color="auto" w:fill="FFFFFF"/>
        <w:spacing w:line="276" w:lineRule="auto"/>
        <w:jc w:val="both"/>
        <w:rPr>
          <w:rFonts w:ascii="Calibri" w:hAnsi="Calibri" w:cs="Calibri"/>
          <w:sz w:val="22"/>
          <w:szCs w:val="22"/>
        </w:rPr>
      </w:pPr>
      <w:r w:rsidRPr="002B73C8">
        <w:rPr>
          <w:rFonts w:ascii="Calibri" w:hAnsi="Calibri" w:cs="Calibri"/>
          <w:sz w:val="22"/>
          <w:szCs w:val="22"/>
        </w:rPr>
        <w:t> </w:t>
      </w:r>
    </w:p>
    <w:p w14:paraId="161A0A78" w14:textId="1DD8407E" w:rsidR="001E7C2D" w:rsidRPr="002B73C8" w:rsidRDefault="001E7C2D" w:rsidP="001E7C2D">
      <w:pPr>
        <w:shd w:val="clear" w:color="auto" w:fill="FFFFFF"/>
        <w:spacing w:line="276" w:lineRule="auto"/>
        <w:jc w:val="both"/>
        <w:rPr>
          <w:rFonts w:ascii="Calibri" w:hAnsi="Calibri" w:cs="Calibri"/>
          <w:sz w:val="22"/>
          <w:szCs w:val="22"/>
          <w:u w:val="single"/>
        </w:rPr>
      </w:pPr>
      <w:r w:rsidRPr="002B73C8">
        <w:rPr>
          <w:rFonts w:ascii="Calibri" w:hAnsi="Calibri" w:cs="Calibri"/>
          <w:b/>
          <w:sz w:val="22"/>
          <w:szCs w:val="22"/>
          <w:u w:val="single"/>
        </w:rPr>
        <w:t xml:space="preserve">Conclusioni </w:t>
      </w:r>
    </w:p>
    <w:p w14:paraId="00105AD0" w14:textId="77777777" w:rsidR="001E7C2D" w:rsidRPr="002B73C8" w:rsidRDefault="001E7C2D" w:rsidP="001E7C2D">
      <w:pPr>
        <w:shd w:val="clear" w:color="auto" w:fill="FFFFFF"/>
        <w:spacing w:after="100" w:line="276" w:lineRule="auto"/>
        <w:jc w:val="both"/>
        <w:rPr>
          <w:rFonts w:ascii="Calibri" w:hAnsi="Calibri" w:cs="Calibri"/>
          <w:sz w:val="22"/>
          <w:szCs w:val="22"/>
        </w:rPr>
      </w:pPr>
      <w:r w:rsidRPr="002B73C8">
        <w:rPr>
          <w:rFonts w:ascii="Calibri" w:hAnsi="Calibri" w:cs="Calibri"/>
          <w:sz w:val="22"/>
          <w:szCs w:val="22"/>
        </w:rPr>
        <w:t>Ad ogni modo la Corte ha stabilito, in conclusione, che il diritto comunitario applicabile al caso di specie (ossia, l’articolo 1, par. 10, e l’articolo 11 della direttiva 2004/18/CE del 31 marzo 2004):</w:t>
      </w:r>
    </w:p>
    <w:p w14:paraId="0E78A067" w14:textId="77777777" w:rsidR="001E7C2D" w:rsidRPr="002B73C8" w:rsidRDefault="001E7C2D" w:rsidP="001E7C2D">
      <w:pPr>
        <w:pStyle w:val="Paragrafoelenco"/>
        <w:numPr>
          <w:ilvl w:val="0"/>
          <w:numId w:val="11"/>
        </w:numPr>
        <w:shd w:val="clear" w:color="auto" w:fill="FFFFFF"/>
        <w:spacing w:after="0" w:line="276" w:lineRule="auto"/>
        <w:jc w:val="both"/>
        <w:rPr>
          <w:rFonts w:eastAsia="Times New Roman" w:cs="Calibri"/>
          <w:lang w:eastAsia="it-IT"/>
        </w:rPr>
      </w:pPr>
      <w:r w:rsidRPr="002B73C8">
        <w:rPr>
          <w:rFonts w:eastAsia="Times New Roman" w:cs="Calibri"/>
          <w:lang w:eastAsia="it-IT"/>
        </w:rPr>
        <w:t>non osta “</w:t>
      </w:r>
      <w:r w:rsidRPr="002B73C8">
        <w:rPr>
          <w:rFonts w:eastAsia="Times New Roman" w:cs="Calibri"/>
          <w:i/>
          <w:lang w:eastAsia="it-IT"/>
        </w:rPr>
        <w:t>a una disposizione di diritto nazionale che limita l’autonomia organizzativa dei piccoli enti locali di fare ricorso a una centrale di committenza a soli due modelli di organizzazione esclusivamente pubblica, senza la partecipazione di soggetti o di imprese private</w:t>
      </w:r>
      <w:r w:rsidRPr="002B73C8">
        <w:rPr>
          <w:rFonts w:eastAsia="Times New Roman" w:cs="Calibri"/>
          <w:lang w:eastAsia="it-IT"/>
        </w:rPr>
        <w:t>”;</w:t>
      </w:r>
    </w:p>
    <w:p w14:paraId="44AE43CB" w14:textId="77777777" w:rsidR="001E7C2D" w:rsidRPr="002B73C8" w:rsidRDefault="001E7C2D" w:rsidP="001E7C2D">
      <w:pPr>
        <w:pStyle w:val="Paragrafoelenco"/>
        <w:numPr>
          <w:ilvl w:val="0"/>
          <w:numId w:val="11"/>
        </w:numPr>
        <w:shd w:val="clear" w:color="auto" w:fill="FFFFFF"/>
        <w:spacing w:after="0" w:line="276" w:lineRule="auto"/>
        <w:jc w:val="both"/>
        <w:rPr>
          <w:rFonts w:eastAsia="Times New Roman" w:cs="Calibri"/>
          <w:lang w:eastAsia="it-IT"/>
        </w:rPr>
      </w:pPr>
      <w:r w:rsidRPr="002B73C8">
        <w:rPr>
          <w:rFonts w:eastAsia="Times New Roman" w:cs="Calibri"/>
          <w:bCs/>
          <w:lang w:eastAsia="it-IT"/>
        </w:rPr>
        <w:t>non osta neppure “</w:t>
      </w:r>
      <w:r w:rsidRPr="002B73C8">
        <w:rPr>
          <w:rFonts w:eastAsia="Times New Roman" w:cs="Calibri"/>
          <w:bCs/>
          <w:i/>
          <w:lang w:eastAsia="it-IT"/>
        </w:rPr>
        <w:t>a una disposizione di diritto nazionale che limita l’ambito di operatività delle centrali di committenza istituite da enti locali al territorio di tali enti locali</w:t>
      </w:r>
      <w:r w:rsidRPr="002B73C8">
        <w:rPr>
          <w:rFonts w:eastAsia="Times New Roman" w:cs="Calibri"/>
          <w:bCs/>
          <w:lang w:eastAsia="it-IT"/>
        </w:rPr>
        <w:t>”.</w:t>
      </w:r>
    </w:p>
    <w:p w14:paraId="6C6BA8F7" w14:textId="77777777" w:rsidR="001E7C2D" w:rsidRPr="002B73C8" w:rsidRDefault="001E7C2D" w:rsidP="001E7C2D">
      <w:pPr>
        <w:pStyle w:val="Paragrafoelenco"/>
        <w:shd w:val="clear" w:color="auto" w:fill="FFFFFF"/>
        <w:spacing w:after="0" w:line="276" w:lineRule="auto"/>
        <w:jc w:val="both"/>
        <w:rPr>
          <w:rFonts w:eastAsia="Times New Roman" w:cs="Calibri"/>
          <w:lang w:eastAsia="it-IT"/>
        </w:rPr>
      </w:pPr>
    </w:p>
    <w:p w14:paraId="793DFAC5" w14:textId="77777777" w:rsidR="001E7C2D" w:rsidRPr="002B73C8" w:rsidRDefault="001E7C2D" w:rsidP="001E7C2D">
      <w:pPr>
        <w:shd w:val="clear" w:color="auto" w:fill="FFFFFF"/>
        <w:spacing w:line="276" w:lineRule="auto"/>
        <w:jc w:val="both"/>
        <w:rPr>
          <w:rFonts w:ascii="Calibri" w:hAnsi="Calibri" w:cs="Calibri"/>
          <w:sz w:val="22"/>
          <w:szCs w:val="22"/>
        </w:rPr>
      </w:pPr>
      <w:r w:rsidRPr="002B73C8">
        <w:rPr>
          <w:rFonts w:ascii="Calibri" w:hAnsi="Calibri" w:cs="Calibri"/>
          <w:sz w:val="22"/>
          <w:szCs w:val="22"/>
        </w:rPr>
        <w:t xml:space="preserve">A questo punto, </w:t>
      </w:r>
      <w:r w:rsidRPr="002B73C8">
        <w:rPr>
          <w:rFonts w:ascii="Calibri" w:hAnsi="Calibri" w:cs="Calibri"/>
          <w:b/>
          <w:sz w:val="22"/>
          <w:szCs w:val="22"/>
        </w:rPr>
        <w:t>il Consiglio di Stato è chiamato a pronunciarsi nuovamente</w:t>
      </w:r>
      <w:r w:rsidRPr="002B73C8">
        <w:rPr>
          <w:rFonts w:ascii="Calibri" w:hAnsi="Calibri" w:cs="Calibri"/>
          <w:sz w:val="22"/>
          <w:szCs w:val="22"/>
        </w:rPr>
        <w:t xml:space="preserve"> sulla questione interna di merito, in relazione alla quale </w:t>
      </w:r>
      <w:r w:rsidRPr="002B73C8">
        <w:rPr>
          <w:rFonts w:ascii="Calibri" w:hAnsi="Calibri" w:cs="Calibri"/>
          <w:b/>
          <w:sz w:val="22"/>
          <w:szCs w:val="22"/>
        </w:rPr>
        <w:t>sarà tenuto ad applicare i principi di diritto espressi dalla Corte sovranazionale</w:t>
      </w:r>
      <w:r w:rsidRPr="002B73C8">
        <w:rPr>
          <w:rFonts w:ascii="Calibri" w:hAnsi="Calibri" w:cs="Calibri"/>
          <w:sz w:val="22"/>
          <w:szCs w:val="22"/>
        </w:rPr>
        <w:t xml:space="preserve">, atteso che, come noto, la decisione della Corte resa in sede di rinvio pregiudiziale è vincolante per il giudice che ha sollevato la questione. </w:t>
      </w:r>
    </w:p>
    <w:p w14:paraId="59CA5F43" w14:textId="77777777" w:rsidR="001E7C2D" w:rsidRPr="002B73C8" w:rsidRDefault="001E7C2D" w:rsidP="001E7C2D">
      <w:pPr>
        <w:shd w:val="clear" w:color="auto" w:fill="FFFFFF"/>
        <w:spacing w:line="276" w:lineRule="auto"/>
        <w:jc w:val="both"/>
        <w:rPr>
          <w:rFonts w:ascii="Calibri" w:hAnsi="Calibri" w:cs="Calibri"/>
          <w:sz w:val="22"/>
          <w:szCs w:val="22"/>
        </w:rPr>
      </w:pPr>
    </w:p>
    <w:p w14:paraId="43B56561" w14:textId="77777777" w:rsidR="001E7C2D" w:rsidRPr="002B73C8" w:rsidRDefault="001E7C2D" w:rsidP="001E7C2D">
      <w:pPr>
        <w:shd w:val="clear" w:color="auto" w:fill="FFFFFF"/>
        <w:spacing w:line="276" w:lineRule="auto"/>
        <w:jc w:val="both"/>
        <w:rPr>
          <w:rFonts w:ascii="Calibri" w:hAnsi="Calibri" w:cs="Calibri"/>
          <w:sz w:val="22"/>
          <w:szCs w:val="22"/>
        </w:rPr>
      </w:pPr>
      <w:r w:rsidRPr="002B73C8">
        <w:rPr>
          <w:rFonts w:ascii="Calibri" w:hAnsi="Calibri" w:cs="Calibri"/>
          <w:sz w:val="22"/>
          <w:szCs w:val="22"/>
        </w:rPr>
        <w:t xml:space="preserve">E proprio in relazione alla vicenda interna, è infine opportuno rammentare che </w:t>
      </w:r>
      <w:r w:rsidRPr="002B73C8">
        <w:rPr>
          <w:rFonts w:ascii="Calibri" w:hAnsi="Calibri" w:cs="Calibri"/>
          <w:b/>
          <w:sz w:val="22"/>
          <w:szCs w:val="22"/>
        </w:rPr>
        <w:t xml:space="preserve">la tematica relativa alla legittimazione di ASMEL Consortile ad operare come centrale di committenza è già stata oggetto anche di recenti provvedimenti </w:t>
      </w:r>
      <w:r w:rsidRPr="002B73C8">
        <w:rPr>
          <w:rFonts w:ascii="Calibri" w:hAnsi="Calibri" w:cs="Calibri"/>
          <w:sz w:val="22"/>
          <w:szCs w:val="22"/>
        </w:rPr>
        <w:t xml:space="preserve">da parte dei Giudici amministrativi, in particolare ad opera del TAR Lombardia – Milano, sentenza n. 240/2020, che ha confermato che </w:t>
      </w:r>
      <w:r w:rsidRPr="002B73C8">
        <w:rPr>
          <w:rFonts w:ascii="Calibri" w:hAnsi="Calibri" w:cs="Calibri"/>
          <w:bCs/>
          <w:sz w:val="22"/>
          <w:szCs w:val="22"/>
        </w:rPr>
        <w:t xml:space="preserve">ASMEL è priva dei requisiti per potersi qualificare come organismo di diritto pubblico. Alle stesse conclusioni è giunta anche l’ANAC nella delibera n. 179 del 26 febbraio 2020, che ha anche smentito che ASMEL costituisca società </w:t>
      </w:r>
      <w:r w:rsidRPr="002B73C8">
        <w:rPr>
          <w:rFonts w:ascii="Calibri" w:hAnsi="Calibri" w:cs="Calibri"/>
          <w:bCs/>
          <w:i/>
          <w:sz w:val="22"/>
          <w:szCs w:val="22"/>
        </w:rPr>
        <w:t>in house</w:t>
      </w:r>
      <w:r w:rsidRPr="002B73C8">
        <w:rPr>
          <w:rFonts w:ascii="Calibri" w:hAnsi="Calibri" w:cs="Calibri"/>
          <w:bCs/>
          <w:sz w:val="22"/>
          <w:szCs w:val="22"/>
        </w:rPr>
        <w:t xml:space="preserve"> dei Comuni consorziati. </w:t>
      </w:r>
    </w:p>
    <w:p w14:paraId="20FF247D" w14:textId="77777777" w:rsidR="001E7C2D" w:rsidRPr="002B73C8" w:rsidRDefault="001E7C2D" w:rsidP="001E7C2D">
      <w:pPr>
        <w:shd w:val="clear" w:color="auto" w:fill="FFFFFF"/>
        <w:spacing w:line="276" w:lineRule="auto"/>
        <w:ind w:left="1491"/>
        <w:jc w:val="both"/>
        <w:rPr>
          <w:rFonts w:ascii="Calibri" w:hAnsi="Calibri" w:cs="Calibri"/>
          <w:sz w:val="22"/>
          <w:szCs w:val="22"/>
        </w:rPr>
      </w:pPr>
      <w:r w:rsidRPr="002B73C8">
        <w:rPr>
          <w:rFonts w:ascii="Calibri" w:hAnsi="Calibri" w:cs="Calibri"/>
          <w:sz w:val="22"/>
          <w:szCs w:val="22"/>
        </w:rPr>
        <w:lastRenderedPageBreak/>
        <w:t> </w:t>
      </w:r>
    </w:p>
    <w:p w14:paraId="7727989D" w14:textId="77777777" w:rsidR="001E7C2D" w:rsidRPr="002B73C8" w:rsidRDefault="001E7C2D" w:rsidP="001E7C2D">
      <w:pPr>
        <w:shd w:val="clear" w:color="auto" w:fill="FFFFFF"/>
        <w:spacing w:line="276" w:lineRule="auto"/>
        <w:jc w:val="both"/>
        <w:rPr>
          <w:rFonts w:ascii="Calibri" w:hAnsi="Calibri" w:cs="Calibri"/>
          <w:sz w:val="22"/>
          <w:szCs w:val="22"/>
        </w:rPr>
      </w:pPr>
      <w:r w:rsidRPr="002B73C8">
        <w:rPr>
          <w:rFonts w:ascii="Calibri" w:hAnsi="Calibri" w:cs="Calibri"/>
          <w:sz w:val="22"/>
          <w:szCs w:val="22"/>
        </w:rPr>
        <w:t> </w:t>
      </w:r>
    </w:p>
    <w:p w14:paraId="4516AAA2" w14:textId="77777777" w:rsidR="001E7C2D" w:rsidRPr="002B73C8" w:rsidRDefault="001E7C2D" w:rsidP="001E7C2D">
      <w:pPr>
        <w:shd w:val="clear" w:color="auto" w:fill="FFFFFF"/>
        <w:spacing w:line="276" w:lineRule="auto"/>
        <w:jc w:val="both"/>
        <w:rPr>
          <w:rFonts w:ascii="Calibri" w:hAnsi="Calibri" w:cs="Calibri"/>
          <w:sz w:val="22"/>
          <w:szCs w:val="22"/>
        </w:rPr>
      </w:pPr>
      <w:r w:rsidRPr="002B73C8">
        <w:rPr>
          <w:rFonts w:ascii="Calibri" w:hAnsi="Calibri" w:cs="Calibri"/>
          <w:b/>
          <w:sz w:val="22"/>
          <w:szCs w:val="22"/>
        </w:rPr>
        <w:t>Riferimenti esterni:</w:t>
      </w:r>
    </w:p>
    <w:p w14:paraId="119CDC66" w14:textId="77777777" w:rsidR="001E7C2D" w:rsidRPr="002B73C8" w:rsidRDefault="001E7C2D" w:rsidP="001E7C2D">
      <w:pPr>
        <w:pStyle w:val="Paragrafoelenco"/>
        <w:numPr>
          <w:ilvl w:val="0"/>
          <w:numId w:val="12"/>
        </w:numPr>
        <w:shd w:val="clear" w:color="auto" w:fill="FFFFFF"/>
        <w:spacing w:after="0" w:line="276" w:lineRule="auto"/>
        <w:jc w:val="both"/>
        <w:rPr>
          <w:rFonts w:eastAsia="Times New Roman" w:cs="Calibri"/>
          <w:lang w:eastAsia="it-IT"/>
        </w:rPr>
      </w:pPr>
      <w:hyperlink r:id="rId7" w:history="1">
        <w:r w:rsidRPr="002B73C8">
          <w:rPr>
            <w:rFonts w:eastAsia="Times New Roman" w:cs="Calibri"/>
            <w:b/>
            <w:color w:val="002D55"/>
            <w:u w:val="single"/>
            <w:lang w:eastAsia="it-IT"/>
          </w:rPr>
          <w:t>Sentenza C</w:t>
        </w:r>
        <w:r w:rsidRPr="002B73C8">
          <w:rPr>
            <w:rFonts w:eastAsia="Times New Roman" w:cs="Calibri"/>
            <w:b/>
            <w:color w:val="002D55"/>
            <w:u w:val="single"/>
            <w:lang w:eastAsia="it-IT"/>
          </w:rPr>
          <w:t>G</w:t>
        </w:r>
        <w:r w:rsidRPr="002B73C8">
          <w:rPr>
            <w:rFonts w:eastAsia="Times New Roman" w:cs="Calibri"/>
            <w:b/>
            <w:color w:val="002D55"/>
            <w:u w:val="single"/>
            <w:lang w:eastAsia="it-IT"/>
          </w:rPr>
          <w:t>U</w:t>
        </w:r>
        <w:r w:rsidRPr="002B73C8">
          <w:rPr>
            <w:rFonts w:eastAsia="Times New Roman" w:cs="Calibri"/>
            <w:b/>
            <w:color w:val="002D55"/>
            <w:u w:val="single"/>
            <w:lang w:eastAsia="it-IT"/>
          </w:rPr>
          <w:t>E</w:t>
        </w:r>
        <w:r w:rsidRPr="002B73C8">
          <w:rPr>
            <w:rFonts w:eastAsia="Times New Roman" w:cs="Calibri"/>
            <w:b/>
            <w:color w:val="002D55"/>
            <w:u w:val="single"/>
            <w:lang w:eastAsia="it-IT"/>
          </w:rPr>
          <w:t xml:space="preserve">, sez. II, C-3/19, </w:t>
        </w:r>
        <w:proofErr w:type="spellStart"/>
        <w:r w:rsidRPr="002B73C8">
          <w:rPr>
            <w:rFonts w:eastAsia="Times New Roman" w:cs="Calibri"/>
            <w:b/>
            <w:bCs/>
            <w:color w:val="002D55"/>
            <w:u w:val="single"/>
            <w:lang w:eastAsia="it-IT"/>
          </w:rPr>
          <w:t>Asmel</w:t>
        </w:r>
        <w:proofErr w:type="spellEnd"/>
        <w:r w:rsidRPr="002B73C8">
          <w:rPr>
            <w:rFonts w:eastAsia="Times New Roman" w:cs="Calibri"/>
            <w:b/>
            <w:bCs/>
            <w:color w:val="002D55"/>
            <w:u w:val="single"/>
            <w:lang w:eastAsia="it-IT"/>
          </w:rPr>
          <w:t xml:space="preserve"> </w:t>
        </w:r>
        <w:proofErr w:type="spellStart"/>
        <w:r w:rsidRPr="002B73C8">
          <w:rPr>
            <w:rFonts w:eastAsia="Times New Roman" w:cs="Calibri"/>
            <w:b/>
            <w:bCs/>
            <w:color w:val="002D55"/>
            <w:u w:val="single"/>
            <w:lang w:eastAsia="it-IT"/>
          </w:rPr>
          <w:t>Soc</w:t>
        </w:r>
        <w:proofErr w:type="spellEnd"/>
        <w:r w:rsidRPr="002B73C8">
          <w:rPr>
            <w:rFonts w:eastAsia="Times New Roman" w:cs="Calibri"/>
            <w:b/>
            <w:bCs/>
            <w:color w:val="002D55"/>
            <w:u w:val="single"/>
            <w:lang w:eastAsia="it-IT"/>
          </w:rPr>
          <w:t xml:space="preserve">. cons. a r.l. </w:t>
        </w:r>
        <w:r w:rsidRPr="002B73C8">
          <w:rPr>
            <w:rFonts w:eastAsia="Times New Roman" w:cs="Calibri"/>
            <w:b/>
            <w:color w:val="002D55"/>
            <w:u w:val="single"/>
            <w:lang w:eastAsia="it-IT"/>
          </w:rPr>
          <w:t>c.</w:t>
        </w:r>
        <w:r w:rsidRPr="002B73C8">
          <w:rPr>
            <w:rFonts w:eastAsia="Times New Roman" w:cs="Calibri"/>
            <w:color w:val="002D55"/>
            <w:u w:val="single"/>
            <w:lang w:eastAsia="it-IT"/>
          </w:rPr>
          <w:t xml:space="preserve">  </w:t>
        </w:r>
        <w:r w:rsidRPr="002B73C8">
          <w:rPr>
            <w:rFonts w:eastAsia="Times New Roman" w:cs="Calibri"/>
            <w:b/>
            <w:bCs/>
            <w:color w:val="002D55"/>
            <w:u w:val="single"/>
            <w:lang w:eastAsia="it-IT"/>
          </w:rPr>
          <w:t>Autorità Nazionale Anticorruzione (ANAC)</w:t>
        </w:r>
      </w:hyperlink>
    </w:p>
    <w:p w14:paraId="5717701C" w14:textId="3934D1BE" w:rsidR="00625F3C" w:rsidRPr="00756945" w:rsidRDefault="00625F3C" w:rsidP="00532080">
      <w:pPr>
        <w:jc w:val="both"/>
        <w:rPr>
          <w:rFonts w:ascii="Calibri" w:hAnsi="Calibri" w:cs="Arial"/>
          <w:color w:val="000000"/>
          <w:sz w:val="22"/>
          <w:szCs w:val="22"/>
        </w:rPr>
      </w:pPr>
    </w:p>
    <w:p w14:paraId="7118A66F" w14:textId="77777777" w:rsidR="003B0B57" w:rsidRPr="00756945" w:rsidRDefault="003B0B57" w:rsidP="00532080">
      <w:pPr>
        <w:jc w:val="both"/>
        <w:rPr>
          <w:rFonts w:ascii="Calibri" w:hAnsi="Calibri" w:cs="Arial"/>
          <w:color w:val="000000"/>
          <w:sz w:val="22"/>
          <w:szCs w:val="22"/>
        </w:rPr>
      </w:pPr>
    </w:p>
    <w:p w14:paraId="559C0EBE" w14:textId="77777777" w:rsidR="006411DF" w:rsidRPr="00756945" w:rsidRDefault="006411DF" w:rsidP="00532080">
      <w:pPr>
        <w:pStyle w:val="NormaleWeb"/>
        <w:jc w:val="both"/>
        <w:rPr>
          <w:rStyle w:val="Enfasigrassetto"/>
          <w:rFonts w:ascii="Calibri" w:hAnsi="Calibri"/>
          <w:sz w:val="22"/>
          <w:szCs w:val="22"/>
        </w:rPr>
      </w:pPr>
      <w:r w:rsidRPr="00756945">
        <w:rPr>
          <w:rStyle w:val="Enfasigrassetto"/>
          <w:rFonts w:ascii="Calibri" w:hAnsi="Calibri"/>
          <w:sz w:val="22"/>
          <w:szCs w:val="22"/>
        </w:rPr>
        <w:t>Riferimenti:</w:t>
      </w:r>
    </w:p>
    <w:p w14:paraId="5EEE77D9" w14:textId="77777777" w:rsidR="006411DF" w:rsidRPr="00756945" w:rsidRDefault="006411DF" w:rsidP="00532080">
      <w:pPr>
        <w:pStyle w:val="NormaleWeb"/>
        <w:jc w:val="both"/>
        <w:rPr>
          <w:rFonts w:ascii="Calibri" w:hAnsi="Calibri"/>
          <w:sz w:val="22"/>
          <w:szCs w:val="22"/>
        </w:rPr>
      </w:pPr>
      <w:r w:rsidRPr="00756945">
        <w:rPr>
          <w:rFonts w:ascii="Calibri" w:hAnsi="Calibri"/>
          <w:sz w:val="22"/>
          <w:szCs w:val="22"/>
        </w:rPr>
        <w:t>ANCE UMBRIA</w:t>
      </w:r>
    </w:p>
    <w:p w14:paraId="7D78A98D" w14:textId="6B907D09" w:rsidR="006411DF" w:rsidRPr="00756945" w:rsidRDefault="006411DF" w:rsidP="00532080">
      <w:pPr>
        <w:pStyle w:val="NormaleWeb"/>
        <w:jc w:val="both"/>
        <w:rPr>
          <w:rFonts w:ascii="Calibri" w:hAnsi="Calibri"/>
          <w:sz w:val="22"/>
          <w:szCs w:val="22"/>
        </w:rPr>
      </w:pPr>
      <w:r w:rsidRPr="00756945">
        <w:rPr>
          <w:rFonts w:ascii="Calibri" w:hAnsi="Calibri"/>
          <w:sz w:val="22"/>
          <w:szCs w:val="22"/>
        </w:rPr>
        <w:t xml:space="preserve">Perugia – </w:t>
      </w:r>
      <w:hyperlink r:id="rId8" w:history="1">
        <w:r w:rsidRPr="00756945">
          <w:rPr>
            <w:rStyle w:val="Collegamentoipertestuale"/>
            <w:rFonts w:ascii="Calibri" w:hAnsi="Calibri"/>
            <w:sz w:val="22"/>
            <w:szCs w:val="22"/>
          </w:rPr>
          <w:t>info@anceumbria.it</w:t>
        </w:r>
      </w:hyperlink>
      <w:r w:rsidRPr="00756945">
        <w:rPr>
          <w:rFonts w:ascii="Calibri" w:hAnsi="Calibri"/>
          <w:sz w:val="22"/>
          <w:szCs w:val="22"/>
        </w:rPr>
        <w:t xml:space="preserve"> - Tel. 075/582751</w:t>
      </w:r>
    </w:p>
    <w:p w14:paraId="190D91BE" w14:textId="469279D8" w:rsidR="006411DF" w:rsidRPr="00756945" w:rsidRDefault="006411DF" w:rsidP="00532080">
      <w:pPr>
        <w:pStyle w:val="NormaleWeb"/>
        <w:jc w:val="both"/>
        <w:rPr>
          <w:rFonts w:ascii="Calibri" w:hAnsi="Calibri"/>
          <w:sz w:val="22"/>
          <w:szCs w:val="22"/>
        </w:rPr>
      </w:pPr>
      <w:r w:rsidRPr="00756945">
        <w:rPr>
          <w:rFonts w:ascii="Calibri" w:hAnsi="Calibri"/>
          <w:sz w:val="22"/>
          <w:szCs w:val="22"/>
        </w:rPr>
        <w:t xml:space="preserve">Terni - </w:t>
      </w:r>
      <w:hyperlink r:id="rId9" w:history="1">
        <w:r w:rsidRPr="00756945">
          <w:rPr>
            <w:rStyle w:val="Collegamentoipertestuale"/>
            <w:rFonts w:ascii="Calibri" w:hAnsi="Calibri"/>
            <w:sz w:val="22"/>
            <w:szCs w:val="22"/>
          </w:rPr>
          <w:t>edilizia@confindustria.terni.it</w:t>
        </w:r>
      </w:hyperlink>
      <w:r w:rsidRPr="00756945">
        <w:rPr>
          <w:rFonts w:ascii="Calibri" w:hAnsi="Calibri"/>
          <w:sz w:val="22"/>
          <w:szCs w:val="22"/>
        </w:rPr>
        <w:t xml:space="preserve"> - Tel. 0744/443411</w:t>
      </w:r>
    </w:p>
    <w:p w14:paraId="389CE1E4" w14:textId="7F95CC6F" w:rsidR="005A6420" w:rsidRPr="00756945" w:rsidRDefault="005A6420" w:rsidP="00532080">
      <w:pPr>
        <w:tabs>
          <w:tab w:val="left" w:pos="720"/>
          <w:tab w:val="left" w:pos="900"/>
          <w:tab w:val="left" w:pos="1260"/>
          <w:tab w:val="left" w:pos="5580"/>
          <w:tab w:val="left" w:pos="6120"/>
        </w:tabs>
        <w:ind w:left="142" w:right="-2"/>
        <w:jc w:val="both"/>
        <w:rPr>
          <w:rFonts w:ascii="Calibri" w:hAnsi="Calibri" w:cs="Calibri"/>
          <w:sz w:val="22"/>
          <w:szCs w:val="22"/>
        </w:rPr>
      </w:pPr>
    </w:p>
    <w:p w14:paraId="5547163E" w14:textId="232D27E9" w:rsidR="00371573" w:rsidRPr="00756945" w:rsidRDefault="00371573" w:rsidP="00532080">
      <w:pPr>
        <w:tabs>
          <w:tab w:val="left" w:pos="720"/>
          <w:tab w:val="left" w:pos="900"/>
          <w:tab w:val="left" w:pos="1260"/>
          <w:tab w:val="left" w:pos="5580"/>
          <w:tab w:val="left" w:pos="6120"/>
        </w:tabs>
        <w:ind w:left="142" w:right="-2"/>
        <w:jc w:val="both"/>
        <w:rPr>
          <w:rFonts w:ascii="Calibri" w:hAnsi="Calibri" w:cs="Calibri"/>
          <w:sz w:val="22"/>
          <w:szCs w:val="22"/>
        </w:rPr>
      </w:pPr>
    </w:p>
    <w:p w14:paraId="706E0F72" w14:textId="77777777" w:rsidR="00CF6D2A" w:rsidRPr="00756945" w:rsidRDefault="00CF6D2A" w:rsidP="000312D7">
      <w:pPr>
        <w:tabs>
          <w:tab w:val="left" w:pos="720"/>
          <w:tab w:val="left" w:pos="900"/>
          <w:tab w:val="left" w:pos="1260"/>
          <w:tab w:val="left" w:pos="5580"/>
          <w:tab w:val="left" w:pos="6120"/>
        </w:tabs>
        <w:ind w:left="142" w:right="-2"/>
        <w:jc w:val="right"/>
        <w:rPr>
          <w:rFonts w:ascii="Calibri" w:hAnsi="Calibri" w:cs="Calibri"/>
          <w:sz w:val="22"/>
          <w:szCs w:val="22"/>
        </w:rPr>
      </w:pPr>
    </w:p>
    <w:p w14:paraId="7FBCA73E" w14:textId="63F8F9FC" w:rsidR="00783E6E" w:rsidRPr="00756945" w:rsidRDefault="00952E48" w:rsidP="000312D7">
      <w:pPr>
        <w:tabs>
          <w:tab w:val="left" w:pos="720"/>
          <w:tab w:val="left" w:pos="900"/>
          <w:tab w:val="left" w:pos="1260"/>
          <w:tab w:val="left" w:pos="5580"/>
          <w:tab w:val="left" w:pos="6120"/>
        </w:tabs>
        <w:ind w:left="142" w:right="-2"/>
        <w:jc w:val="right"/>
        <w:rPr>
          <w:rFonts w:ascii="Calibri" w:hAnsi="Calibri" w:cs="Calibri"/>
          <w:sz w:val="22"/>
          <w:szCs w:val="22"/>
        </w:rPr>
      </w:pPr>
      <w:r w:rsidRPr="00756945">
        <w:rPr>
          <w:rFonts w:ascii="Calibri" w:hAnsi="Calibri" w:cs="Calibri"/>
          <w:sz w:val="22"/>
          <w:szCs w:val="22"/>
        </w:rPr>
        <w:t xml:space="preserve">Pubblicato il </w:t>
      </w:r>
      <w:r w:rsidR="001E7C2D">
        <w:rPr>
          <w:rFonts w:ascii="Calibri" w:hAnsi="Calibri" w:cs="Calibri"/>
          <w:sz w:val="22"/>
          <w:szCs w:val="22"/>
        </w:rPr>
        <w:t>06</w:t>
      </w:r>
      <w:r w:rsidR="00B203AC" w:rsidRPr="00756945">
        <w:rPr>
          <w:rFonts w:ascii="Calibri" w:hAnsi="Calibri" w:cs="Calibri"/>
          <w:sz w:val="22"/>
          <w:szCs w:val="22"/>
        </w:rPr>
        <w:t>/07</w:t>
      </w:r>
      <w:r w:rsidR="00297F87" w:rsidRPr="00756945">
        <w:rPr>
          <w:rFonts w:ascii="Calibri" w:hAnsi="Calibri" w:cs="Calibri"/>
          <w:sz w:val="22"/>
          <w:szCs w:val="22"/>
        </w:rPr>
        <w:t>/2020</w:t>
      </w:r>
    </w:p>
    <w:sectPr w:rsidR="00783E6E" w:rsidRPr="00756945" w:rsidSect="004E62C8">
      <w:headerReference w:type="first" r:id="rId10"/>
      <w:footerReference w:type="first" r:id="rId11"/>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CDC76" w14:textId="77777777" w:rsidR="002B73C8" w:rsidRDefault="002B73C8">
      <w:r>
        <w:separator/>
      </w:r>
    </w:p>
  </w:endnote>
  <w:endnote w:type="continuationSeparator" w:id="0">
    <w:p w14:paraId="00886630" w14:textId="77777777" w:rsidR="002B73C8" w:rsidRDefault="002B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Futura LT Book">
    <w:altName w:val="Century Gothic"/>
    <w:charset w:val="00"/>
    <w:family w:val="auto"/>
    <w:pitch w:val="variable"/>
    <w:sig w:usb0="00000003" w:usb1="00000000" w:usb2="00000000" w:usb3="00000000" w:csb0="00000001" w:csb1="00000000"/>
  </w:font>
  <w:font w:name="Futura LT Light">
    <w:altName w:val="Century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4F788" w14:textId="77777777" w:rsidR="00151BDD" w:rsidRPr="004C2CC8" w:rsidRDefault="00BC4801" w:rsidP="00474ADE">
    <w:pPr>
      <w:tabs>
        <w:tab w:val="left" w:pos="900"/>
        <w:tab w:val="left" w:pos="1260"/>
        <w:tab w:val="left" w:pos="1620"/>
      </w:tabs>
      <w:rPr>
        <w:rFonts w:ascii="Futura LT Book" w:hAnsi="Futura LT Book"/>
        <w:b/>
        <w:color w:val="205394"/>
        <w:sz w:val="16"/>
        <w:szCs w:val="16"/>
      </w:rPr>
    </w:pPr>
    <w:r>
      <w:rPr>
        <w:rFonts w:ascii="Futura LT Book" w:hAnsi="Futura LT Book"/>
        <w:b/>
        <w:color w:val="205394"/>
        <w:sz w:val="16"/>
        <w:szCs w:val="16"/>
      </w:rPr>
      <w:t>Confindustria Umbria</w:t>
    </w:r>
  </w:p>
  <w:p w14:paraId="3908D6ED" w14:textId="77777777" w:rsidR="00151BDD" w:rsidRPr="004C2CC8" w:rsidRDefault="00BC4801"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232A169E" w14:textId="77777777" w:rsidR="00151BDD" w:rsidRPr="004C2CC8" w:rsidRDefault="00151BDD"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20B2810B" w14:textId="77777777" w:rsidR="00151BDD" w:rsidRPr="004C2CC8" w:rsidRDefault="00952E48" w:rsidP="00474ADE">
    <w:pPr>
      <w:tabs>
        <w:tab w:val="left" w:pos="900"/>
        <w:tab w:val="left" w:pos="1260"/>
        <w:tab w:val="left" w:pos="1620"/>
      </w:tabs>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775FF" w14:textId="77777777" w:rsidR="002B73C8" w:rsidRDefault="002B73C8">
      <w:r>
        <w:separator/>
      </w:r>
    </w:p>
  </w:footnote>
  <w:footnote w:type="continuationSeparator" w:id="0">
    <w:p w14:paraId="7589486E" w14:textId="77777777" w:rsidR="002B73C8" w:rsidRDefault="002B7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1C413A52" w14:textId="77777777" w:rsidTr="00952E48">
      <w:tc>
        <w:tcPr>
          <w:tcW w:w="900" w:type="dxa"/>
        </w:tcPr>
        <w:p w14:paraId="13A69F8E" w14:textId="77777777" w:rsidR="001867E9" w:rsidRDefault="002B73C8">
          <w:pPr>
            <w:tabs>
              <w:tab w:val="left" w:pos="720"/>
              <w:tab w:val="left" w:pos="900"/>
              <w:tab w:val="left" w:pos="1260"/>
              <w:tab w:val="left" w:pos="1980"/>
            </w:tabs>
          </w:pPr>
          <w:r>
            <w:rPr>
              <w:noProof/>
              <w:color w:val="205394"/>
            </w:rPr>
            <w:pict w14:anchorId="6656F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alt="acquila" style="width:41pt;height:39pt;visibility:visible">
                <v:imagedata r:id="rId1" o:title="acquila"/>
              </v:shape>
            </w:pict>
          </w:r>
        </w:p>
      </w:tc>
      <w:tc>
        <w:tcPr>
          <w:tcW w:w="5421" w:type="dxa"/>
          <w:vAlign w:val="bottom"/>
        </w:tcPr>
        <w:p w14:paraId="7A43C720"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53B0DD7" w14:textId="77777777" w:rsidR="001867E9" w:rsidRDefault="001867E9">
          <w:pPr>
            <w:tabs>
              <w:tab w:val="left" w:pos="720"/>
              <w:tab w:val="left" w:pos="900"/>
              <w:tab w:val="left" w:pos="1260"/>
              <w:tab w:val="left" w:pos="1980"/>
            </w:tabs>
          </w:pPr>
        </w:p>
      </w:tc>
      <w:tc>
        <w:tcPr>
          <w:tcW w:w="4604" w:type="dxa"/>
          <w:vAlign w:val="bottom"/>
        </w:tcPr>
        <w:p w14:paraId="158EA449" w14:textId="77777777" w:rsidR="001867E9" w:rsidRDefault="001867E9">
          <w:pPr>
            <w:rPr>
              <w:rFonts w:ascii="Futura LT Light" w:hAnsi="Futura LT Light"/>
              <w:color w:val="00247E"/>
              <w:sz w:val="20"/>
              <w:szCs w:val="20"/>
            </w:rPr>
          </w:pPr>
        </w:p>
      </w:tc>
    </w:tr>
    <w:tr w:rsidR="001867E9" w14:paraId="7D902A2D" w14:textId="77777777" w:rsidTr="00952E48">
      <w:tc>
        <w:tcPr>
          <w:tcW w:w="900" w:type="dxa"/>
        </w:tcPr>
        <w:p w14:paraId="0D671F4E" w14:textId="77777777" w:rsidR="001867E9" w:rsidRDefault="001867E9">
          <w:pPr>
            <w:tabs>
              <w:tab w:val="left" w:pos="720"/>
              <w:tab w:val="left" w:pos="900"/>
              <w:tab w:val="left" w:pos="1260"/>
              <w:tab w:val="left" w:pos="1980"/>
            </w:tabs>
          </w:pPr>
        </w:p>
      </w:tc>
      <w:tc>
        <w:tcPr>
          <w:tcW w:w="5421" w:type="dxa"/>
        </w:tcPr>
        <w:p w14:paraId="482899B3"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589D41DD" w14:textId="77777777" w:rsidR="001867E9" w:rsidRDefault="001867E9">
          <w:pPr>
            <w:tabs>
              <w:tab w:val="left" w:pos="720"/>
              <w:tab w:val="left" w:pos="900"/>
              <w:tab w:val="left" w:pos="1260"/>
              <w:tab w:val="left" w:pos="1980"/>
            </w:tabs>
          </w:pPr>
        </w:p>
      </w:tc>
      <w:tc>
        <w:tcPr>
          <w:tcW w:w="4604" w:type="dxa"/>
        </w:tcPr>
        <w:p w14:paraId="23F4B353" w14:textId="77777777" w:rsidR="001867E9" w:rsidRDefault="001867E9">
          <w:pPr>
            <w:tabs>
              <w:tab w:val="left" w:pos="720"/>
              <w:tab w:val="left" w:pos="900"/>
              <w:tab w:val="left" w:pos="1260"/>
              <w:tab w:val="left" w:pos="1980"/>
            </w:tabs>
          </w:pPr>
        </w:p>
      </w:tc>
    </w:tr>
  </w:tbl>
  <w:p w14:paraId="1EAEF4F0"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6AC"/>
    <w:multiLevelType w:val="hybridMultilevel"/>
    <w:tmpl w:val="D2AEE8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F85D38"/>
    <w:multiLevelType w:val="hybridMultilevel"/>
    <w:tmpl w:val="7756A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296319"/>
    <w:multiLevelType w:val="hybridMultilevel"/>
    <w:tmpl w:val="9866F954"/>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 w15:restartNumberingAfterBreak="0">
    <w:nsid w:val="1DCA05A1"/>
    <w:multiLevelType w:val="multilevel"/>
    <w:tmpl w:val="47ECB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8C3BC2"/>
    <w:multiLevelType w:val="hybridMultilevel"/>
    <w:tmpl w:val="3D44C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722355"/>
    <w:multiLevelType w:val="hybridMultilevel"/>
    <w:tmpl w:val="DA36FF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26662B"/>
    <w:multiLevelType w:val="hybridMultilevel"/>
    <w:tmpl w:val="AC9083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F49768B"/>
    <w:multiLevelType w:val="hybridMultilevel"/>
    <w:tmpl w:val="2410CC46"/>
    <w:styleLink w:val="Puntielenco"/>
    <w:lvl w:ilvl="0" w:tplc="4860FC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41E2C70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DC1A55E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2EFAB04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345295D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E9C116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59BCFE5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86EEB8D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3CF2870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60231EC"/>
    <w:multiLevelType w:val="hybridMultilevel"/>
    <w:tmpl w:val="B7E6A74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837219F"/>
    <w:multiLevelType w:val="hybridMultilevel"/>
    <w:tmpl w:val="146E4008"/>
    <w:lvl w:ilvl="0" w:tplc="0410000F">
      <w:start w:val="1"/>
      <w:numFmt w:val="decimal"/>
      <w:lvlText w:val="%1."/>
      <w:lvlJc w:val="left"/>
      <w:pPr>
        <w:ind w:left="1515" w:hanging="360"/>
      </w:pPr>
    </w:lvl>
    <w:lvl w:ilvl="1" w:tplc="04100019" w:tentative="1">
      <w:start w:val="1"/>
      <w:numFmt w:val="lowerLetter"/>
      <w:lvlText w:val="%2."/>
      <w:lvlJc w:val="left"/>
      <w:pPr>
        <w:ind w:left="2235" w:hanging="360"/>
      </w:pPr>
    </w:lvl>
    <w:lvl w:ilvl="2" w:tplc="0410001B" w:tentative="1">
      <w:start w:val="1"/>
      <w:numFmt w:val="lowerRoman"/>
      <w:lvlText w:val="%3."/>
      <w:lvlJc w:val="right"/>
      <w:pPr>
        <w:ind w:left="2955" w:hanging="180"/>
      </w:pPr>
    </w:lvl>
    <w:lvl w:ilvl="3" w:tplc="0410000F" w:tentative="1">
      <w:start w:val="1"/>
      <w:numFmt w:val="decimal"/>
      <w:lvlText w:val="%4."/>
      <w:lvlJc w:val="left"/>
      <w:pPr>
        <w:ind w:left="3675" w:hanging="360"/>
      </w:pPr>
    </w:lvl>
    <w:lvl w:ilvl="4" w:tplc="04100019" w:tentative="1">
      <w:start w:val="1"/>
      <w:numFmt w:val="lowerLetter"/>
      <w:lvlText w:val="%5."/>
      <w:lvlJc w:val="left"/>
      <w:pPr>
        <w:ind w:left="4395" w:hanging="360"/>
      </w:pPr>
    </w:lvl>
    <w:lvl w:ilvl="5" w:tplc="0410001B" w:tentative="1">
      <w:start w:val="1"/>
      <w:numFmt w:val="lowerRoman"/>
      <w:lvlText w:val="%6."/>
      <w:lvlJc w:val="right"/>
      <w:pPr>
        <w:ind w:left="5115" w:hanging="180"/>
      </w:pPr>
    </w:lvl>
    <w:lvl w:ilvl="6" w:tplc="0410000F" w:tentative="1">
      <w:start w:val="1"/>
      <w:numFmt w:val="decimal"/>
      <w:lvlText w:val="%7."/>
      <w:lvlJc w:val="left"/>
      <w:pPr>
        <w:ind w:left="5835" w:hanging="360"/>
      </w:pPr>
    </w:lvl>
    <w:lvl w:ilvl="7" w:tplc="04100019" w:tentative="1">
      <w:start w:val="1"/>
      <w:numFmt w:val="lowerLetter"/>
      <w:lvlText w:val="%8."/>
      <w:lvlJc w:val="left"/>
      <w:pPr>
        <w:ind w:left="6555" w:hanging="360"/>
      </w:pPr>
    </w:lvl>
    <w:lvl w:ilvl="8" w:tplc="0410001B" w:tentative="1">
      <w:start w:val="1"/>
      <w:numFmt w:val="lowerRoman"/>
      <w:lvlText w:val="%9."/>
      <w:lvlJc w:val="right"/>
      <w:pPr>
        <w:ind w:left="7275" w:hanging="180"/>
      </w:pPr>
    </w:lvl>
  </w:abstractNum>
  <w:abstractNum w:abstractNumId="10" w15:restartNumberingAfterBreak="0">
    <w:nsid w:val="793D75C0"/>
    <w:multiLevelType w:val="hybridMultilevel"/>
    <w:tmpl w:val="E362D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D47A28"/>
    <w:multiLevelType w:val="hybridMultilevel"/>
    <w:tmpl w:val="9FC4A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9EF24E9"/>
    <w:multiLevelType w:val="hybridMultilevel"/>
    <w:tmpl w:val="62165770"/>
    <w:lvl w:ilvl="0" w:tplc="5D760BE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A13780F"/>
    <w:multiLevelType w:val="hybridMultilevel"/>
    <w:tmpl w:val="6FFA6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0"/>
  </w:num>
  <w:num w:numId="5">
    <w:abstractNumId w:val="9"/>
  </w:num>
  <w:num w:numId="6">
    <w:abstractNumId w:val="6"/>
  </w:num>
  <w:num w:numId="7">
    <w:abstractNumId w:val="5"/>
  </w:num>
  <w:num w:numId="8">
    <w:abstractNumId w:val="0"/>
  </w:num>
  <w:num w:numId="9">
    <w:abstractNumId w:val="2"/>
  </w:num>
  <w:num w:numId="10">
    <w:abstractNumId w:val="11"/>
  </w:num>
  <w:num w:numId="11">
    <w:abstractNumId w:val="8"/>
  </w:num>
  <w:num w:numId="12">
    <w:abstractNumId w:val="13"/>
  </w:num>
  <w:num w:numId="13">
    <w:abstractNumId w:val="1"/>
  </w:num>
  <w:num w:numId="1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418"/>
    <w:rsid w:val="000013D4"/>
    <w:rsid w:val="000018C4"/>
    <w:rsid w:val="00002340"/>
    <w:rsid w:val="00012716"/>
    <w:rsid w:val="000143BB"/>
    <w:rsid w:val="00014CFE"/>
    <w:rsid w:val="00016196"/>
    <w:rsid w:val="00030A72"/>
    <w:rsid w:val="000312D7"/>
    <w:rsid w:val="000369D4"/>
    <w:rsid w:val="00037418"/>
    <w:rsid w:val="00040CFB"/>
    <w:rsid w:val="0004674A"/>
    <w:rsid w:val="00052071"/>
    <w:rsid w:val="000539CB"/>
    <w:rsid w:val="00053A2C"/>
    <w:rsid w:val="000614F9"/>
    <w:rsid w:val="000625BE"/>
    <w:rsid w:val="000637F2"/>
    <w:rsid w:val="000703BF"/>
    <w:rsid w:val="000742BE"/>
    <w:rsid w:val="00080ADD"/>
    <w:rsid w:val="00087150"/>
    <w:rsid w:val="0009085F"/>
    <w:rsid w:val="000B06C6"/>
    <w:rsid w:val="000B2103"/>
    <w:rsid w:val="000C53BB"/>
    <w:rsid w:val="000D0123"/>
    <w:rsid w:val="000D36C6"/>
    <w:rsid w:val="000D45D8"/>
    <w:rsid w:val="000D4668"/>
    <w:rsid w:val="000D4ADA"/>
    <w:rsid w:val="000E38C9"/>
    <w:rsid w:val="000E6DB1"/>
    <w:rsid w:val="0010566D"/>
    <w:rsid w:val="00126D4F"/>
    <w:rsid w:val="001311CA"/>
    <w:rsid w:val="00134010"/>
    <w:rsid w:val="0013536D"/>
    <w:rsid w:val="00136808"/>
    <w:rsid w:val="00151B1D"/>
    <w:rsid w:val="00151BDD"/>
    <w:rsid w:val="00160F19"/>
    <w:rsid w:val="001674E2"/>
    <w:rsid w:val="00172666"/>
    <w:rsid w:val="00177173"/>
    <w:rsid w:val="00181F9E"/>
    <w:rsid w:val="001867E9"/>
    <w:rsid w:val="00197786"/>
    <w:rsid w:val="001A0EA6"/>
    <w:rsid w:val="001A61DB"/>
    <w:rsid w:val="001B0373"/>
    <w:rsid w:val="001B1366"/>
    <w:rsid w:val="001C016B"/>
    <w:rsid w:val="001C5C73"/>
    <w:rsid w:val="001D46AD"/>
    <w:rsid w:val="001D783D"/>
    <w:rsid w:val="001D7F3D"/>
    <w:rsid w:val="001E0909"/>
    <w:rsid w:val="001E1A02"/>
    <w:rsid w:val="001E720B"/>
    <w:rsid w:val="001E7C2D"/>
    <w:rsid w:val="001F202A"/>
    <w:rsid w:val="001F48AB"/>
    <w:rsid w:val="0020292B"/>
    <w:rsid w:val="00206722"/>
    <w:rsid w:val="00210ED4"/>
    <w:rsid w:val="002113BA"/>
    <w:rsid w:val="002166C4"/>
    <w:rsid w:val="0022540F"/>
    <w:rsid w:val="00230989"/>
    <w:rsid w:val="00237B46"/>
    <w:rsid w:val="00241A95"/>
    <w:rsid w:val="00242295"/>
    <w:rsid w:val="00254095"/>
    <w:rsid w:val="002650B4"/>
    <w:rsid w:val="002655A5"/>
    <w:rsid w:val="00265FD1"/>
    <w:rsid w:val="00267F8E"/>
    <w:rsid w:val="0027190F"/>
    <w:rsid w:val="0027421E"/>
    <w:rsid w:val="002743DA"/>
    <w:rsid w:val="00293463"/>
    <w:rsid w:val="002959ED"/>
    <w:rsid w:val="00297F87"/>
    <w:rsid w:val="002A6DFD"/>
    <w:rsid w:val="002B3446"/>
    <w:rsid w:val="002B73C8"/>
    <w:rsid w:val="002B7EEB"/>
    <w:rsid w:val="002D246E"/>
    <w:rsid w:val="002D2B28"/>
    <w:rsid w:val="002E4047"/>
    <w:rsid w:val="002F44A9"/>
    <w:rsid w:val="00300CDB"/>
    <w:rsid w:val="00306EA7"/>
    <w:rsid w:val="003114C4"/>
    <w:rsid w:val="00322EE8"/>
    <w:rsid w:val="00326815"/>
    <w:rsid w:val="003347DC"/>
    <w:rsid w:val="0034265F"/>
    <w:rsid w:val="00363BF8"/>
    <w:rsid w:val="003646F3"/>
    <w:rsid w:val="00371573"/>
    <w:rsid w:val="00385BAE"/>
    <w:rsid w:val="003944BF"/>
    <w:rsid w:val="00395392"/>
    <w:rsid w:val="003A759E"/>
    <w:rsid w:val="003B0B57"/>
    <w:rsid w:val="003B6D95"/>
    <w:rsid w:val="003B7ED2"/>
    <w:rsid w:val="003C19FB"/>
    <w:rsid w:val="003C6682"/>
    <w:rsid w:val="003E5874"/>
    <w:rsid w:val="003F1228"/>
    <w:rsid w:val="0041047E"/>
    <w:rsid w:val="0041177C"/>
    <w:rsid w:val="0042052A"/>
    <w:rsid w:val="004353E3"/>
    <w:rsid w:val="004435C3"/>
    <w:rsid w:val="00454209"/>
    <w:rsid w:val="00462395"/>
    <w:rsid w:val="00465747"/>
    <w:rsid w:val="00472D2B"/>
    <w:rsid w:val="00474ADE"/>
    <w:rsid w:val="00483E55"/>
    <w:rsid w:val="004A43B9"/>
    <w:rsid w:val="004A5095"/>
    <w:rsid w:val="004B0EF1"/>
    <w:rsid w:val="004B5C7B"/>
    <w:rsid w:val="004B691C"/>
    <w:rsid w:val="004C1CE6"/>
    <w:rsid w:val="004C2CC8"/>
    <w:rsid w:val="004C6703"/>
    <w:rsid w:val="004D48E8"/>
    <w:rsid w:val="004D4957"/>
    <w:rsid w:val="004E0C94"/>
    <w:rsid w:val="004E3922"/>
    <w:rsid w:val="004E62C8"/>
    <w:rsid w:val="004F2D22"/>
    <w:rsid w:val="00517FCD"/>
    <w:rsid w:val="00520F32"/>
    <w:rsid w:val="0053112D"/>
    <w:rsid w:val="00531CA4"/>
    <w:rsid w:val="00532080"/>
    <w:rsid w:val="00532542"/>
    <w:rsid w:val="00534E4E"/>
    <w:rsid w:val="00546306"/>
    <w:rsid w:val="005615FE"/>
    <w:rsid w:val="00565BA4"/>
    <w:rsid w:val="00570DF9"/>
    <w:rsid w:val="00571AA5"/>
    <w:rsid w:val="00572355"/>
    <w:rsid w:val="00580D22"/>
    <w:rsid w:val="00583231"/>
    <w:rsid w:val="00585124"/>
    <w:rsid w:val="00585847"/>
    <w:rsid w:val="005952A0"/>
    <w:rsid w:val="005A2FBD"/>
    <w:rsid w:val="005A6420"/>
    <w:rsid w:val="005A68AC"/>
    <w:rsid w:val="005B0270"/>
    <w:rsid w:val="005B68CD"/>
    <w:rsid w:val="005C488C"/>
    <w:rsid w:val="005D26BF"/>
    <w:rsid w:val="005D2783"/>
    <w:rsid w:val="005E05F4"/>
    <w:rsid w:val="005E29D1"/>
    <w:rsid w:val="005E2A6A"/>
    <w:rsid w:val="005E5E6F"/>
    <w:rsid w:val="005E694F"/>
    <w:rsid w:val="005F136F"/>
    <w:rsid w:val="00600B26"/>
    <w:rsid w:val="00606C5A"/>
    <w:rsid w:val="0061180E"/>
    <w:rsid w:val="00617528"/>
    <w:rsid w:val="00625F3C"/>
    <w:rsid w:val="00633A04"/>
    <w:rsid w:val="00634F54"/>
    <w:rsid w:val="006370DF"/>
    <w:rsid w:val="00640EB4"/>
    <w:rsid w:val="006411A6"/>
    <w:rsid w:val="006411DF"/>
    <w:rsid w:val="00646791"/>
    <w:rsid w:val="00654840"/>
    <w:rsid w:val="00673C44"/>
    <w:rsid w:val="00684F34"/>
    <w:rsid w:val="00686CD4"/>
    <w:rsid w:val="0069445C"/>
    <w:rsid w:val="00696623"/>
    <w:rsid w:val="006A2CD6"/>
    <w:rsid w:val="006C0F54"/>
    <w:rsid w:val="006C26BE"/>
    <w:rsid w:val="006C5530"/>
    <w:rsid w:val="006C6827"/>
    <w:rsid w:val="006D187D"/>
    <w:rsid w:val="006E4E22"/>
    <w:rsid w:val="006E64CC"/>
    <w:rsid w:val="006E71D6"/>
    <w:rsid w:val="006F3D2C"/>
    <w:rsid w:val="006F4A89"/>
    <w:rsid w:val="007006D5"/>
    <w:rsid w:val="00706997"/>
    <w:rsid w:val="00710780"/>
    <w:rsid w:val="007120A3"/>
    <w:rsid w:val="007212D6"/>
    <w:rsid w:val="00721719"/>
    <w:rsid w:val="007268E0"/>
    <w:rsid w:val="007278BF"/>
    <w:rsid w:val="00727E86"/>
    <w:rsid w:val="00730857"/>
    <w:rsid w:val="007336E8"/>
    <w:rsid w:val="00744DE8"/>
    <w:rsid w:val="00754C9D"/>
    <w:rsid w:val="00756945"/>
    <w:rsid w:val="0075722D"/>
    <w:rsid w:val="00760281"/>
    <w:rsid w:val="00761C9E"/>
    <w:rsid w:val="00764518"/>
    <w:rsid w:val="00775FF9"/>
    <w:rsid w:val="00783E6E"/>
    <w:rsid w:val="007872ED"/>
    <w:rsid w:val="007900D5"/>
    <w:rsid w:val="007911A1"/>
    <w:rsid w:val="00792D99"/>
    <w:rsid w:val="00793849"/>
    <w:rsid w:val="00796CE5"/>
    <w:rsid w:val="007A106A"/>
    <w:rsid w:val="007A4BC4"/>
    <w:rsid w:val="007B0324"/>
    <w:rsid w:val="007B0D7B"/>
    <w:rsid w:val="007B28C2"/>
    <w:rsid w:val="007B4F16"/>
    <w:rsid w:val="007B72D4"/>
    <w:rsid w:val="007B7550"/>
    <w:rsid w:val="007C1279"/>
    <w:rsid w:val="007D0756"/>
    <w:rsid w:val="007D102D"/>
    <w:rsid w:val="007D346E"/>
    <w:rsid w:val="007E02A8"/>
    <w:rsid w:val="007E1CB1"/>
    <w:rsid w:val="007E52F6"/>
    <w:rsid w:val="007E7A85"/>
    <w:rsid w:val="007F16F9"/>
    <w:rsid w:val="007F7D2A"/>
    <w:rsid w:val="00801AE3"/>
    <w:rsid w:val="008021EA"/>
    <w:rsid w:val="0080382C"/>
    <w:rsid w:val="008050CE"/>
    <w:rsid w:val="008122F0"/>
    <w:rsid w:val="00814B6A"/>
    <w:rsid w:val="00827AA4"/>
    <w:rsid w:val="0083206A"/>
    <w:rsid w:val="008324D4"/>
    <w:rsid w:val="00842CAC"/>
    <w:rsid w:val="0089242A"/>
    <w:rsid w:val="00895D5A"/>
    <w:rsid w:val="008B3432"/>
    <w:rsid w:val="008B5620"/>
    <w:rsid w:val="008C21F3"/>
    <w:rsid w:val="008C6FB9"/>
    <w:rsid w:val="008E4D83"/>
    <w:rsid w:val="008E69DA"/>
    <w:rsid w:val="008F7F38"/>
    <w:rsid w:val="0091416E"/>
    <w:rsid w:val="0092313F"/>
    <w:rsid w:val="00924F70"/>
    <w:rsid w:val="009259DA"/>
    <w:rsid w:val="00930421"/>
    <w:rsid w:val="00933A9A"/>
    <w:rsid w:val="00935FD9"/>
    <w:rsid w:val="00936AC3"/>
    <w:rsid w:val="00943AF3"/>
    <w:rsid w:val="00947B49"/>
    <w:rsid w:val="00951362"/>
    <w:rsid w:val="00952E48"/>
    <w:rsid w:val="00962B81"/>
    <w:rsid w:val="00964D43"/>
    <w:rsid w:val="00972881"/>
    <w:rsid w:val="009A181B"/>
    <w:rsid w:val="009A600B"/>
    <w:rsid w:val="009B0727"/>
    <w:rsid w:val="009B370B"/>
    <w:rsid w:val="009C5511"/>
    <w:rsid w:val="009C66FF"/>
    <w:rsid w:val="009D0AE2"/>
    <w:rsid w:val="009D26C3"/>
    <w:rsid w:val="009D42AF"/>
    <w:rsid w:val="009D58A8"/>
    <w:rsid w:val="009E0FC5"/>
    <w:rsid w:val="009E313A"/>
    <w:rsid w:val="009E5252"/>
    <w:rsid w:val="009E718E"/>
    <w:rsid w:val="009F00C9"/>
    <w:rsid w:val="009F30D5"/>
    <w:rsid w:val="00A00CC0"/>
    <w:rsid w:val="00A02167"/>
    <w:rsid w:val="00A029FA"/>
    <w:rsid w:val="00A100C9"/>
    <w:rsid w:val="00A108C5"/>
    <w:rsid w:val="00A2160D"/>
    <w:rsid w:val="00A238E8"/>
    <w:rsid w:val="00A27F82"/>
    <w:rsid w:val="00A35E9C"/>
    <w:rsid w:val="00A549EE"/>
    <w:rsid w:val="00A554C8"/>
    <w:rsid w:val="00A5706E"/>
    <w:rsid w:val="00A65A7B"/>
    <w:rsid w:val="00A72245"/>
    <w:rsid w:val="00A7325D"/>
    <w:rsid w:val="00A86C5A"/>
    <w:rsid w:val="00A874BE"/>
    <w:rsid w:val="00A92403"/>
    <w:rsid w:val="00AA0D22"/>
    <w:rsid w:val="00AA755B"/>
    <w:rsid w:val="00AA7A03"/>
    <w:rsid w:val="00AB393D"/>
    <w:rsid w:val="00AB5961"/>
    <w:rsid w:val="00AC09F6"/>
    <w:rsid w:val="00AC0DA4"/>
    <w:rsid w:val="00AC363E"/>
    <w:rsid w:val="00AD6736"/>
    <w:rsid w:val="00AE4116"/>
    <w:rsid w:val="00AE484B"/>
    <w:rsid w:val="00AE7C4C"/>
    <w:rsid w:val="00AF1207"/>
    <w:rsid w:val="00AF303A"/>
    <w:rsid w:val="00AF4404"/>
    <w:rsid w:val="00AF4D79"/>
    <w:rsid w:val="00AF6300"/>
    <w:rsid w:val="00B1385A"/>
    <w:rsid w:val="00B203AC"/>
    <w:rsid w:val="00B23422"/>
    <w:rsid w:val="00B27B4F"/>
    <w:rsid w:val="00B27DA0"/>
    <w:rsid w:val="00B34B96"/>
    <w:rsid w:val="00B37E06"/>
    <w:rsid w:val="00B44EC6"/>
    <w:rsid w:val="00B55997"/>
    <w:rsid w:val="00B56F41"/>
    <w:rsid w:val="00B71AF1"/>
    <w:rsid w:val="00B74B3D"/>
    <w:rsid w:val="00B90950"/>
    <w:rsid w:val="00B954F6"/>
    <w:rsid w:val="00B9787B"/>
    <w:rsid w:val="00B97A78"/>
    <w:rsid w:val="00BA6BD6"/>
    <w:rsid w:val="00BA7B76"/>
    <w:rsid w:val="00BB7D4D"/>
    <w:rsid w:val="00BC0691"/>
    <w:rsid w:val="00BC4801"/>
    <w:rsid w:val="00BD3C2C"/>
    <w:rsid w:val="00BD60DB"/>
    <w:rsid w:val="00C10A7A"/>
    <w:rsid w:val="00C13B4C"/>
    <w:rsid w:val="00C27714"/>
    <w:rsid w:val="00C433AC"/>
    <w:rsid w:val="00C46AA6"/>
    <w:rsid w:val="00C6046C"/>
    <w:rsid w:val="00C6483F"/>
    <w:rsid w:val="00C7079A"/>
    <w:rsid w:val="00C82C7A"/>
    <w:rsid w:val="00C92C40"/>
    <w:rsid w:val="00C93D89"/>
    <w:rsid w:val="00C96C69"/>
    <w:rsid w:val="00CA1FD0"/>
    <w:rsid w:val="00CA32BA"/>
    <w:rsid w:val="00CA5FB4"/>
    <w:rsid w:val="00CA677D"/>
    <w:rsid w:val="00CB0B8E"/>
    <w:rsid w:val="00CB1898"/>
    <w:rsid w:val="00CB302D"/>
    <w:rsid w:val="00CC42BA"/>
    <w:rsid w:val="00CD2F0A"/>
    <w:rsid w:val="00CD4A8E"/>
    <w:rsid w:val="00CE1FB2"/>
    <w:rsid w:val="00CE5F79"/>
    <w:rsid w:val="00CF6D2A"/>
    <w:rsid w:val="00D05B8F"/>
    <w:rsid w:val="00D06063"/>
    <w:rsid w:val="00D102CD"/>
    <w:rsid w:val="00D12686"/>
    <w:rsid w:val="00D12E1E"/>
    <w:rsid w:val="00D13CAB"/>
    <w:rsid w:val="00D2250C"/>
    <w:rsid w:val="00D24A1C"/>
    <w:rsid w:val="00D25CF8"/>
    <w:rsid w:val="00D30E39"/>
    <w:rsid w:val="00D327D9"/>
    <w:rsid w:val="00D32FC7"/>
    <w:rsid w:val="00D35077"/>
    <w:rsid w:val="00D403FB"/>
    <w:rsid w:val="00D46D8F"/>
    <w:rsid w:val="00D50F2A"/>
    <w:rsid w:val="00D54D0D"/>
    <w:rsid w:val="00D551CF"/>
    <w:rsid w:val="00D66BBB"/>
    <w:rsid w:val="00D70745"/>
    <w:rsid w:val="00D71FF5"/>
    <w:rsid w:val="00D74092"/>
    <w:rsid w:val="00D77E54"/>
    <w:rsid w:val="00D9275A"/>
    <w:rsid w:val="00DA4273"/>
    <w:rsid w:val="00DA5995"/>
    <w:rsid w:val="00DB3985"/>
    <w:rsid w:val="00DB4953"/>
    <w:rsid w:val="00DC0ED4"/>
    <w:rsid w:val="00DC7F97"/>
    <w:rsid w:val="00DD019F"/>
    <w:rsid w:val="00DE15E7"/>
    <w:rsid w:val="00DF5163"/>
    <w:rsid w:val="00E15D00"/>
    <w:rsid w:val="00E20570"/>
    <w:rsid w:val="00E209CB"/>
    <w:rsid w:val="00E25D34"/>
    <w:rsid w:val="00E273B4"/>
    <w:rsid w:val="00E31E8B"/>
    <w:rsid w:val="00E36D39"/>
    <w:rsid w:val="00E44B8E"/>
    <w:rsid w:val="00E47D5B"/>
    <w:rsid w:val="00E5260E"/>
    <w:rsid w:val="00E56C4C"/>
    <w:rsid w:val="00E71CEB"/>
    <w:rsid w:val="00E74979"/>
    <w:rsid w:val="00E83FD1"/>
    <w:rsid w:val="00E906B5"/>
    <w:rsid w:val="00E909DF"/>
    <w:rsid w:val="00EA4465"/>
    <w:rsid w:val="00EB1B2C"/>
    <w:rsid w:val="00EB54EC"/>
    <w:rsid w:val="00EB5F34"/>
    <w:rsid w:val="00EB6196"/>
    <w:rsid w:val="00EC0D5D"/>
    <w:rsid w:val="00ED1726"/>
    <w:rsid w:val="00ED2018"/>
    <w:rsid w:val="00ED2B9F"/>
    <w:rsid w:val="00ED6E2C"/>
    <w:rsid w:val="00ED7B1E"/>
    <w:rsid w:val="00EE18FB"/>
    <w:rsid w:val="00EF1C88"/>
    <w:rsid w:val="00EF69AE"/>
    <w:rsid w:val="00F169DE"/>
    <w:rsid w:val="00F23D65"/>
    <w:rsid w:val="00F31A89"/>
    <w:rsid w:val="00F32A75"/>
    <w:rsid w:val="00F4051C"/>
    <w:rsid w:val="00F4663F"/>
    <w:rsid w:val="00F51DA0"/>
    <w:rsid w:val="00F52882"/>
    <w:rsid w:val="00F53831"/>
    <w:rsid w:val="00F53938"/>
    <w:rsid w:val="00F53F66"/>
    <w:rsid w:val="00F60480"/>
    <w:rsid w:val="00F623AC"/>
    <w:rsid w:val="00F804E0"/>
    <w:rsid w:val="00F80976"/>
    <w:rsid w:val="00F81262"/>
    <w:rsid w:val="00F81771"/>
    <w:rsid w:val="00F9163B"/>
    <w:rsid w:val="00F94CCF"/>
    <w:rsid w:val="00FA52B2"/>
    <w:rsid w:val="00FC5166"/>
    <w:rsid w:val="00FC53D5"/>
    <w:rsid w:val="00FC6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7E19B"/>
  <w15:docId w15:val="{AC4CA1ED-655B-4B83-9704-4CC53F2C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8F7F38"/>
    <w:pPr>
      <w:autoSpaceDE w:val="0"/>
      <w:autoSpaceDN w:val="0"/>
      <w:adjustRightInd w:val="0"/>
    </w:pPr>
    <w:rPr>
      <w:rFonts w:eastAsia="Calibri"/>
      <w:color w:val="000000"/>
      <w:sz w:val="24"/>
      <w:szCs w:val="24"/>
      <w:lang w:eastAsia="en-US"/>
    </w:rPr>
  </w:style>
  <w:style w:type="character" w:styleId="Menzionenonrisolta">
    <w:name w:val="Unresolved Mention"/>
    <w:uiPriority w:val="99"/>
    <w:semiHidden/>
    <w:unhideWhenUsed/>
    <w:rsid w:val="003347DC"/>
    <w:rPr>
      <w:color w:val="605E5C"/>
      <w:shd w:val="clear" w:color="auto" w:fill="E1DFDD"/>
    </w:rPr>
  </w:style>
  <w:style w:type="character" w:styleId="Enfasigrassetto">
    <w:name w:val="Strong"/>
    <w:uiPriority w:val="22"/>
    <w:qFormat/>
    <w:rsid w:val="0009085F"/>
    <w:rPr>
      <w:b/>
      <w:bCs/>
    </w:rPr>
  </w:style>
  <w:style w:type="paragraph" w:styleId="NormaleWeb">
    <w:name w:val="Normal (Web)"/>
    <w:basedOn w:val="Normale"/>
    <w:uiPriority w:val="99"/>
    <w:semiHidden/>
    <w:unhideWhenUsed/>
    <w:rsid w:val="00C93D89"/>
  </w:style>
  <w:style w:type="character" w:styleId="Enfasicorsivo">
    <w:name w:val="Emphasis"/>
    <w:uiPriority w:val="20"/>
    <w:qFormat/>
    <w:rsid w:val="00633A04"/>
    <w:rPr>
      <w:i/>
      <w:iCs/>
    </w:rPr>
  </w:style>
  <w:style w:type="paragraph" w:customStyle="1" w:styleId="Didefault">
    <w:name w:val="Di default"/>
    <w:rsid w:val="002B344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Puntielenco">
    <w:name w:val="Punti elenco"/>
    <w:rsid w:val="002B3446"/>
    <w:pPr>
      <w:numPr>
        <w:numId w:val="1"/>
      </w:numPr>
    </w:pPr>
  </w:style>
  <w:style w:type="character" w:customStyle="1" w:styleId="Nessuno">
    <w:name w:val="Nessuno"/>
    <w:rsid w:val="002B3446"/>
  </w:style>
  <w:style w:type="character" w:customStyle="1" w:styleId="Hyperlink1">
    <w:name w:val="Hyperlink.1"/>
    <w:rsid w:val="002B3446"/>
    <w:rPr>
      <w:rFonts w:ascii="Tahoma" w:eastAsia="Tahoma" w:hAnsi="Tahoma" w:cs="Tahoma"/>
      <w:outline w:val="0"/>
      <w:color w:val="0070C0"/>
      <w:u w:val="single" w:color="0070C0"/>
    </w:rPr>
  </w:style>
  <w:style w:type="character" w:customStyle="1" w:styleId="Hyperlink0">
    <w:name w:val="Hyperlink.0"/>
    <w:rsid w:val="002B3446"/>
    <w:rPr>
      <w:outline w:val="0"/>
      <w:color w:val="0000FF"/>
      <w:u w:val="single" w:color="0000FF"/>
    </w:rPr>
  </w:style>
  <w:style w:type="paragraph" w:styleId="Testonormale">
    <w:name w:val="Plain Text"/>
    <w:basedOn w:val="Normale"/>
    <w:link w:val="TestonormaleCarattere"/>
    <w:uiPriority w:val="99"/>
    <w:semiHidden/>
    <w:unhideWhenUsed/>
    <w:rsid w:val="00A549EE"/>
    <w:rPr>
      <w:rFonts w:ascii="Calibri" w:eastAsia="Calibri" w:hAnsi="Calibri" w:cs="Calibri"/>
      <w:sz w:val="22"/>
      <w:szCs w:val="22"/>
    </w:rPr>
  </w:style>
  <w:style w:type="character" w:customStyle="1" w:styleId="TestonormaleCarattere">
    <w:name w:val="Testo normale Carattere"/>
    <w:link w:val="Testonormale"/>
    <w:uiPriority w:val="99"/>
    <w:semiHidden/>
    <w:rsid w:val="00A549E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427">
      <w:bodyDiv w:val="1"/>
      <w:marLeft w:val="0"/>
      <w:marRight w:val="0"/>
      <w:marTop w:val="0"/>
      <w:marBottom w:val="0"/>
      <w:divBdr>
        <w:top w:val="none" w:sz="0" w:space="0" w:color="auto"/>
        <w:left w:val="none" w:sz="0" w:space="0" w:color="auto"/>
        <w:bottom w:val="none" w:sz="0" w:space="0" w:color="auto"/>
        <w:right w:val="none" w:sz="0" w:space="0" w:color="auto"/>
      </w:divBdr>
    </w:div>
    <w:div w:id="88552626">
      <w:bodyDiv w:val="1"/>
      <w:marLeft w:val="0"/>
      <w:marRight w:val="0"/>
      <w:marTop w:val="0"/>
      <w:marBottom w:val="0"/>
      <w:divBdr>
        <w:top w:val="none" w:sz="0" w:space="0" w:color="auto"/>
        <w:left w:val="none" w:sz="0" w:space="0" w:color="auto"/>
        <w:bottom w:val="none" w:sz="0" w:space="0" w:color="auto"/>
        <w:right w:val="none" w:sz="0" w:space="0" w:color="auto"/>
      </w:divBdr>
    </w:div>
    <w:div w:id="172109742">
      <w:bodyDiv w:val="1"/>
      <w:marLeft w:val="0"/>
      <w:marRight w:val="0"/>
      <w:marTop w:val="0"/>
      <w:marBottom w:val="0"/>
      <w:divBdr>
        <w:top w:val="none" w:sz="0" w:space="0" w:color="auto"/>
        <w:left w:val="none" w:sz="0" w:space="0" w:color="auto"/>
        <w:bottom w:val="none" w:sz="0" w:space="0" w:color="auto"/>
        <w:right w:val="none" w:sz="0" w:space="0" w:color="auto"/>
      </w:divBdr>
    </w:div>
    <w:div w:id="228418633">
      <w:bodyDiv w:val="1"/>
      <w:marLeft w:val="0"/>
      <w:marRight w:val="0"/>
      <w:marTop w:val="0"/>
      <w:marBottom w:val="0"/>
      <w:divBdr>
        <w:top w:val="none" w:sz="0" w:space="0" w:color="auto"/>
        <w:left w:val="none" w:sz="0" w:space="0" w:color="auto"/>
        <w:bottom w:val="none" w:sz="0" w:space="0" w:color="auto"/>
        <w:right w:val="none" w:sz="0" w:space="0" w:color="auto"/>
      </w:divBdr>
    </w:div>
    <w:div w:id="234709877">
      <w:bodyDiv w:val="1"/>
      <w:marLeft w:val="0"/>
      <w:marRight w:val="0"/>
      <w:marTop w:val="0"/>
      <w:marBottom w:val="0"/>
      <w:divBdr>
        <w:top w:val="none" w:sz="0" w:space="0" w:color="auto"/>
        <w:left w:val="none" w:sz="0" w:space="0" w:color="auto"/>
        <w:bottom w:val="none" w:sz="0" w:space="0" w:color="auto"/>
        <w:right w:val="none" w:sz="0" w:space="0" w:color="auto"/>
      </w:divBdr>
    </w:div>
    <w:div w:id="308097474">
      <w:bodyDiv w:val="1"/>
      <w:marLeft w:val="0"/>
      <w:marRight w:val="0"/>
      <w:marTop w:val="0"/>
      <w:marBottom w:val="0"/>
      <w:divBdr>
        <w:top w:val="none" w:sz="0" w:space="0" w:color="auto"/>
        <w:left w:val="none" w:sz="0" w:space="0" w:color="auto"/>
        <w:bottom w:val="none" w:sz="0" w:space="0" w:color="auto"/>
        <w:right w:val="none" w:sz="0" w:space="0" w:color="auto"/>
      </w:divBdr>
    </w:div>
    <w:div w:id="318507793">
      <w:bodyDiv w:val="1"/>
      <w:marLeft w:val="0"/>
      <w:marRight w:val="0"/>
      <w:marTop w:val="0"/>
      <w:marBottom w:val="0"/>
      <w:divBdr>
        <w:top w:val="none" w:sz="0" w:space="0" w:color="auto"/>
        <w:left w:val="none" w:sz="0" w:space="0" w:color="auto"/>
        <w:bottom w:val="none" w:sz="0" w:space="0" w:color="auto"/>
        <w:right w:val="none" w:sz="0" w:space="0" w:color="auto"/>
      </w:divBdr>
    </w:div>
    <w:div w:id="522788613">
      <w:bodyDiv w:val="1"/>
      <w:marLeft w:val="0"/>
      <w:marRight w:val="0"/>
      <w:marTop w:val="0"/>
      <w:marBottom w:val="0"/>
      <w:divBdr>
        <w:top w:val="none" w:sz="0" w:space="0" w:color="auto"/>
        <w:left w:val="none" w:sz="0" w:space="0" w:color="auto"/>
        <w:bottom w:val="none" w:sz="0" w:space="0" w:color="auto"/>
        <w:right w:val="none" w:sz="0" w:space="0" w:color="auto"/>
      </w:divBdr>
    </w:div>
    <w:div w:id="545798429">
      <w:bodyDiv w:val="1"/>
      <w:marLeft w:val="0"/>
      <w:marRight w:val="0"/>
      <w:marTop w:val="0"/>
      <w:marBottom w:val="0"/>
      <w:divBdr>
        <w:top w:val="none" w:sz="0" w:space="0" w:color="auto"/>
        <w:left w:val="none" w:sz="0" w:space="0" w:color="auto"/>
        <w:bottom w:val="none" w:sz="0" w:space="0" w:color="auto"/>
        <w:right w:val="none" w:sz="0" w:space="0" w:color="auto"/>
      </w:divBdr>
    </w:div>
    <w:div w:id="575286715">
      <w:bodyDiv w:val="1"/>
      <w:marLeft w:val="0"/>
      <w:marRight w:val="0"/>
      <w:marTop w:val="0"/>
      <w:marBottom w:val="0"/>
      <w:divBdr>
        <w:top w:val="none" w:sz="0" w:space="0" w:color="auto"/>
        <w:left w:val="none" w:sz="0" w:space="0" w:color="auto"/>
        <w:bottom w:val="none" w:sz="0" w:space="0" w:color="auto"/>
        <w:right w:val="none" w:sz="0" w:space="0" w:color="auto"/>
      </w:divBdr>
    </w:div>
    <w:div w:id="623081352">
      <w:bodyDiv w:val="1"/>
      <w:marLeft w:val="0"/>
      <w:marRight w:val="0"/>
      <w:marTop w:val="0"/>
      <w:marBottom w:val="0"/>
      <w:divBdr>
        <w:top w:val="none" w:sz="0" w:space="0" w:color="auto"/>
        <w:left w:val="none" w:sz="0" w:space="0" w:color="auto"/>
        <w:bottom w:val="none" w:sz="0" w:space="0" w:color="auto"/>
        <w:right w:val="none" w:sz="0" w:space="0" w:color="auto"/>
      </w:divBdr>
    </w:div>
    <w:div w:id="665935163">
      <w:bodyDiv w:val="1"/>
      <w:marLeft w:val="0"/>
      <w:marRight w:val="0"/>
      <w:marTop w:val="0"/>
      <w:marBottom w:val="0"/>
      <w:divBdr>
        <w:top w:val="none" w:sz="0" w:space="0" w:color="auto"/>
        <w:left w:val="none" w:sz="0" w:space="0" w:color="auto"/>
        <w:bottom w:val="none" w:sz="0" w:space="0" w:color="auto"/>
        <w:right w:val="none" w:sz="0" w:space="0" w:color="auto"/>
      </w:divBdr>
    </w:div>
    <w:div w:id="874999546">
      <w:bodyDiv w:val="1"/>
      <w:marLeft w:val="0"/>
      <w:marRight w:val="0"/>
      <w:marTop w:val="0"/>
      <w:marBottom w:val="0"/>
      <w:divBdr>
        <w:top w:val="none" w:sz="0" w:space="0" w:color="auto"/>
        <w:left w:val="none" w:sz="0" w:space="0" w:color="auto"/>
        <w:bottom w:val="none" w:sz="0" w:space="0" w:color="auto"/>
        <w:right w:val="none" w:sz="0" w:space="0" w:color="auto"/>
      </w:divBdr>
    </w:div>
    <w:div w:id="1015955739">
      <w:bodyDiv w:val="1"/>
      <w:marLeft w:val="0"/>
      <w:marRight w:val="0"/>
      <w:marTop w:val="0"/>
      <w:marBottom w:val="0"/>
      <w:divBdr>
        <w:top w:val="none" w:sz="0" w:space="0" w:color="auto"/>
        <w:left w:val="none" w:sz="0" w:space="0" w:color="auto"/>
        <w:bottom w:val="none" w:sz="0" w:space="0" w:color="auto"/>
        <w:right w:val="none" w:sz="0" w:space="0" w:color="auto"/>
      </w:divBdr>
    </w:div>
    <w:div w:id="1105149096">
      <w:bodyDiv w:val="1"/>
      <w:marLeft w:val="0"/>
      <w:marRight w:val="0"/>
      <w:marTop w:val="0"/>
      <w:marBottom w:val="0"/>
      <w:divBdr>
        <w:top w:val="none" w:sz="0" w:space="0" w:color="auto"/>
        <w:left w:val="none" w:sz="0" w:space="0" w:color="auto"/>
        <w:bottom w:val="none" w:sz="0" w:space="0" w:color="auto"/>
        <w:right w:val="none" w:sz="0" w:space="0" w:color="auto"/>
      </w:divBdr>
    </w:div>
    <w:div w:id="1313094342">
      <w:bodyDiv w:val="1"/>
      <w:marLeft w:val="0"/>
      <w:marRight w:val="0"/>
      <w:marTop w:val="0"/>
      <w:marBottom w:val="0"/>
      <w:divBdr>
        <w:top w:val="none" w:sz="0" w:space="0" w:color="auto"/>
        <w:left w:val="none" w:sz="0" w:space="0" w:color="auto"/>
        <w:bottom w:val="none" w:sz="0" w:space="0" w:color="auto"/>
        <w:right w:val="none" w:sz="0" w:space="0" w:color="auto"/>
      </w:divBdr>
    </w:div>
    <w:div w:id="1355233073">
      <w:bodyDiv w:val="1"/>
      <w:marLeft w:val="0"/>
      <w:marRight w:val="0"/>
      <w:marTop w:val="0"/>
      <w:marBottom w:val="0"/>
      <w:divBdr>
        <w:top w:val="none" w:sz="0" w:space="0" w:color="auto"/>
        <w:left w:val="none" w:sz="0" w:space="0" w:color="auto"/>
        <w:bottom w:val="none" w:sz="0" w:space="0" w:color="auto"/>
        <w:right w:val="none" w:sz="0" w:space="0" w:color="auto"/>
      </w:divBdr>
    </w:div>
    <w:div w:id="1520000481">
      <w:bodyDiv w:val="1"/>
      <w:marLeft w:val="0"/>
      <w:marRight w:val="0"/>
      <w:marTop w:val="0"/>
      <w:marBottom w:val="0"/>
      <w:divBdr>
        <w:top w:val="none" w:sz="0" w:space="0" w:color="auto"/>
        <w:left w:val="none" w:sz="0" w:space="0" w:color="auto"/>
        <w:bottom w:val="none" w:sz="0" w:space="0" w:color="auto"/>
        <w:right w:val="none" w:sz="0" w:space="0" w:color="auto"/>
      </w:divBdr>
    </w:div>
    <w:div w:id="1527594266">
      <w:bodyDiv w:val="1"/>
      <w:marLeft w:val="0"/>
      <w:marRight w:val="0"/>
      <w:marTop w:val="0"/>
      <w:marBottom w:val="0"/>
      <w:divBdr>
        <w:top w:val="none" w:sz="0" w:space="0" w:color="auto"/>
        <w:left w:val="none" w:sz="0" w:space="0" w:color="auto"/>
        <w:bottom w:val="none" w:sz="0" w:space="0" w:color="auto"/>
        <w:right w:val="none" w:sz="0" w:space="0" w:color="auto"/>
      </w:divBdr>
    </w:div>
    <w:div w:id="1635678468">
      <w:bodyDiv w:val="1"/>
      <w:marLeft w:val="0"/>
      <w:marRight w:val="0"/>
      <w:marTop w:val="0"/>
      <w:marBottom w:val="0"/>
      <w:divBdr>
        <w:top w:val="none" w:sz="0" w:space="0" w:color="auto"/>
        <w:left w:val="none" w:sz="0" w:space="0" w:color="auto"/>
        <w:bottom w:val="none" w:sz="0" w:space="0" w:color="auto"/>
        <w:right w:val="none" w:sz="0" w:space="0" w:color="auto"/>
      </w:divBdr>
    </w:div>
    <w:div w:id="1646351945">
      <w:bodyDiv w:val="1"/>
      <w:marLeft w:val="0"/>
      <w:marRight w:val="0"/>
      <w:marTop w:val="0"/>
      <w:marBottom w:val="0"/>
      <w:divBdr>
        <w:top w:val="none" w:sz="0" w:space="0" w:color="auto"/>
        <w:left w:val="none" w:sz="0" w:space="0" w:color="auto"/>
        <w:bottom w:val="none" w:sz="0" w:space="0" w:color="auto"/>
        <w:right w:val="none" w:sz="0" w:space="0" w:color="auto"/>
      </w:divBdr>
    </w:div>
    <w:div w:id="1900550876">
      <w:bodyDiv w:val="1"/>
      <w:marLeft w:val="0"/>
      <w:marRight w:val="0"/>
      <w:marTop w:val="0"/>
      <w:marBottom w:val="0"/>
      <w:divBdr>
        <w:top w:val="none" w:sz="0" w:space="0" w:color="auto"/>
        <w:left w:val="none" w:sz="0" w:space="0" w:color="auto"/>
        <w:bottom w:val="none" w:sz="0" w:space="0" w:color="auto"/>
        <w:right w:val="none" w:sz="0" w:space="0" w:color="auto"/>
      </w:divBdr>
    </w:div>
    <w:div w:id="1904219491">
      <w:bodyDiv w:val="1"/>
      <w:marLeft w:val="0"/>
      <w:marRight w:val="0"/>
      <w:marTop w:val="0"/>
      <w:marBottom w:val="0"/>
      <w:divBdr>
        <w:top w:val="none" w:sz="0" w:space="0" w:color="auto"/>
        <w:left w:val="none" w:sz="0" w:space="0" w:color="auto"/>
        <w:bottom w:val="none" w:sz="0" w:space="0" w:color="auto"/>
        <w:right w:val="none" w:sz="0" w:space="0" w:color="auto"/>
      </w:divBdr>
    </w:div>
    <w:div w:id="1987124347">
      <w:bodyDiv w:val="1"/>
      <w:marLeft w:val="0"/>
      <w:marRight w:val="0"/>
      <w:marTop w:val="0"/>
      <w:marBottom w:val="0"/>
      <w:divBdr>
        <w:top w:val="none" w:sz="0" w:space="0" w:color="auto"/>
        <w:left w:val="none" w:sz="0" w:space="0" w:color="auto"/>
        <w:bottom w:val="none" w:sz="0" w:space="0" w:color="auto"/>
        <w:right w:val="none" w:sz="0" w:space="0" w:color="auto"/>
      </w:divBdr>
    </w:div>
    <w:div w:id="2017686256">
      <w:bodyDiv w:val="1"/>
      <w:marLeft w:val="0"/>
      <w:marRight w:val="0"/>
      <w:marTop w:val="0"/>
      <w:marBottom w:val="0"/>
      <w:divBdr>
        <w:top w:val="none" w:sz="0" w:space="0" w:color="auto"/>
        <w:left w:val="none" w:sz="0" w:space="0" w:color="auto"/>
        <w:bottom w:val="none" w:sz="0" w:space="0" w:color="auto"/>
        <w:right w:val="none" w:sz="0" w:space="0" w:color="auto"/>
      </w:divBdr>
    </w:div>
    <w:div w:id="20889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W12ADC02\archivi\010_CONFINDUSTRIA%20UMBRIA\Notiziario\2020\EDILIZIA\info@anceumbria.it%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uria.europa.eu/juris/document/document_print.jsf;jsessionid=07A960EF9425A8DD08A335FFC38F3092?docid=226974&amp;text=&amp;dir=&amp;doclang=IT&amp;part=1&amp;occ=first&amp;mode=DOC&amp;pageIndex=0&amp;cid=43105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SW12ADC02\archivi\010_CONFINDUSTRIA%20UMBRIA\Notiziario\2020\EDILIZIA\edilizia@confindustria.tern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30</TotalTime>
  <Pages>4</Pages>
  <Words>1603</Words>
  <Characters>9138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10720</CharactersWithSpaces>
  <SharedDoc>false</SharedDoc>
  <HLinks>
    <vt:vector size="12" baseType="variant">
      <vt:variant>
        <vt:i4>7667784</vt:i4>
      </vt:variant>
      <vt:variant>
        <vt:i4>3</vt:i4>
      </vt:variant>
      <vt:variant>
        <vt:i4>0</vt:i4>
      </vt:variant>
      <vt:variant>
        <vt:i4>5</vt:i4>
      </vt:variant>
      <vt:variant>
        <vt:lpwstr>edilizia@confindustria.terni.it</vt:lpwstr>
      </vt:variant>
      <vt:variant>
        <vt:lpwstr/>
      </vt:variant>
      <vt:variant>
        <vt:i4>2555987</vt:i4>
      </vt:variant>
      <vt:variant>
        <vt:i4>0</vt:i4>
      </vt:variant>
      <vt:variant>
        <vt:i4>0</vt:i4>
      </vt:variant>
      <vt:variant>
        <vt:i4>5</vt:i4>
      </vt:variant>
      <vt:variant>
        <vt:lpwstr>info@anceumbria.it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subject/>
  <dc:creator>Cristina Malfagia</dc:creator>
  <cp:keywords/>
  <cp:lastModifiedBy>hp</cp:lastModifiedBy>
  <cp:revision>6</cp:revision>
  <cp:lastPrinted>2019-02-27T17:41:00Z</cp:lastPrinted>
  <dcterms:created xsi:type="dcterms:W3CDTF">2020-07-03T13:06:00Z</dcterms:created>
  <dcterms:modified xsi:type="dcterms:W3CDTF">2020-07-06T09:53:00Z</dcterms:modified>
</cp:coreProperties>
</file>