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A5EDD" w14:textId="327CADF7" w:rsidR="007930A8" w:rsidRPr="00BF2E9E" w:rsidRDefault="00BF2E9E" w:rsidP="00A85C75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2"/>
          <w:szCs w:val="22"/>
        </w:rPr>
      </w:pPr>
      <w:r w:rsidRPr="00BF2E9E">
        <w:rPr>
          <w:rFonts w:ascii="Calibri" w:hAnsi="Calibri" w:cs="Calibri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3B7F71" w:rsidRPr="00BF2E9E">
        <w:rPr>
          <w:rFonts w:ascii="Calibri" w:hAnsi="Calibri" w:cs="Calibri"/>
          <w:b/>
          <w:bCs/>
          <w:color w:val="000000"/>
          <w:sz w:val="22"/>
          <w:szCs w:val="22"/>
        </w:rPr>
        <w:t xml:space="preserve">Emergenza Coronavirus. </w:t>
      </w:r>
      <w:r w:rsidR="00A85C75" w:rsidRPr="00BF2E9E">
        <w:rPr>
          <w:rFonts w:ascii="Calibri" w:hAnsi="Calibri" w:cs="Calibri"/>
          <w:b/>
          <w:bCs/>
          <w:color w:val="000000"/>
          <w:sz w:val="22"/>
          <w:szCs w:val="22"/>
        </w:rPr>
        <w:t xml:space="preserve">Procedimento di mediazione necessario per controversie contrattuali da </w:t>
      </w:r>
      <w:r w:rsidR="003B7F71" w:rsidRPr="00BF2E9E">
        <w:rPr>
          <w:rFonts w:ascii="Calibri" w:hAnsi="Calibri" w:cs="Calibri"/>
          <w:b/>
          <w:bCs/>
          <w:color w:val="000000"/>
          <w:sz w:val="22"/>
          <w:szCs w:val="22"/>
        </w:rPr>
        <w:t>Covid-19</w:t>
      </w:r>
    </w:p>
    <w:p w14:paraId="6FC615BB" w14:textId="7C87C487" w:rsidR="007930A8" w:rsidRPr="00BF2E9E" w:rsidRDefault="007930A8" w:rsidP="00A85C75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173B98F4" w14:textId="54EF4D28" w:rsidR="003B7F71" w:rsidRPr="00BF2E9E" w:rsidRDefault="002528E7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F2E9E">
        <w:rPr>
          <w:rFonts w:ascii="Calibri" w:hAnsi="Calibri"/>
          <w:sz w:val="22"/>
          <w:szCs w:val="22"/>
        </w:rPr>
        <w:t>Quando scatta la mediazione preventiva</w:t>
      </w:r>
    </w:p>
    <w:p w14:paraId="7B6FE66C" w14:textId="77777777" w:rsidR="002528E7" w:rsidRPr="00BF2E9E" w:rsidRDefault="002528E7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332E21E0" w14:textId="40AF1168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F2E9E">
        <w:rPr>
          <w:rFonts w:ascii="Calibri" w:hAnsi="Calibri"/>
          <w:sz w:val="22"/>
          <w:szCs w:val="22"/>
        </w:rPr>
        <w:t>Con la conversione in legge del DL 28/2020</w:t>
      </w:r>
      <w:r w:rsidR="003B7F71" w:rsidRPr="00BF2E9E">
        <w:rPr>
          <w:rFonts w:ascii="Calibri" w:hAnsi="Calibri"/>
          <w:sz w:val="22"/>
          <w:szCs w:val="22"/>
        </w:rPr>
        <w:t>,</w:t>
      </w:r>
      <w:r w:rsidRPr="00BF2E9E">
        <w:rPr>
          <w:rFonts w:ascii="Calibri" w:hAnsi="Calibri"/>
          <w:sz w:val="22"/>
          <w:szCs w:val="22"/>
        </w:rPr>
        <w:t xml:space="preserve"> il legislatore ha previsto una nuova ipotesi di mediazione preventiva: le controversie contrattuali derivanti dall’emergenza epidemiologica</w:t>
      </w:r>
      <w:r w:rsidR="003B7F71" w:rsidRPr="00BF2E9E">
        <w:rPr>
          <w:rFonts w:ascii="Calibri" w:hAnsi="Calibri"/>
          <w:sz w:val="22"/>
          <w:szCs w:val="22"/>
        </w:rPr>
        <w:t>.</w:t>
      </w:r>
    </w:p>
    <w:p w14:paraId="0BD6564F" w14:textId="45606880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b/>
          <w:bCs/>
          <w:sz w:val="22"/>
          <w:szCs w:val="22"/>
        </w:rPr>
      </w:pPr>
    </w:p>
    <w:p w14:paraId="38B9D690" w14:textId="1E12C9A9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F2E9E">
        <w:rPr>
          <w:rFonts w:ascii="Calibri" w:hAnsi="Calibri"/>
          <w:sz w:val="22"/>
          <w:szCs w:val="22"/>
        </w:rPr>
        <w:t xml:space="preserve">Nelle controversie in materia di </w:t>
      </w:r>
      <w:r w:rsidRPr="00BF2E9E">
        <w:rPr>
          <w:rFonts w:ascii="Calibri" w:hAnsi="Calibri"/>
          <w:b/>
          <w:sz w:val="22"/>
          <w:szCs w:val="22"/>
        </w:rPr>
        <w:t>obbligazioni contrattuali in cui l’inadempimento deve essere valutato in relazione al rispetto delle misure di contenimento connesse all’emergenza sanitaria</w:t>
      </w:r>
      <w:r w:rsidR="003B7F71" w:rsidRPr="00BF2E9E">
        <w:rPr>
          <w:rFonts w:ascii="Calibri" w:hAnsi="Calibri"/>
          <w:bCs/>
          <w:sz w:val="22"/>
          <w:szCs w:val="22"/>
        </w:rPr>
        <w:t>,</w:t>
      </w:r>
      <w:r w:rsidRPr="00BF2E9E">
        <w:rPr>
          <w:rFonts w:ascii="Calibri" w:hAnsi="Calibri"/>
          <w:sz w:val="22"/>
          <w:szCs w:val="22"/>
        </w:rPr>
        <w:t xml:space="preserve"> quali ad esempio </w:t>
      </w:r>
      <w:r w:rsidRPr="00BF2E9E">
        <w:rPr>
          <w:rFonts w:ascii="Calibri" w:hAnsi="Calibri"/>
          <w:i/>
          <w:sz w:val="22"/>
          <w:szCs w:val="22"/>
        </w:rPr>
        <w:t>consegna ritardata di beni e forniture, ritardo nell’ esecuzione di lavori affidati in appalto, mancato rispetto delle scadenze contrattuali per i pagamenti  nei contratti di appalto o locazione</w:t>
      </w:r>
      <w:r w:rsidR="003B7F71" w:rsidRPr="00BF2E9E">
        <w:rPr>
          <w:rFonts w:ascii="Calibri" w:hAnsi="Calibri"/>
          <w:i/>
          <w:sz w:val="22"/>
          <w:szCs w:val="22"/>
        </w:rPr>
        <w:t>,</w:t>
      </w:r>
      <w:r w:rsidRPr="00BF2E9E">
        <w:rPr>
          <w:rFonts w:ascii="Calibri" w:hAnsi="Calibri"/>
          <w:i/>
          <w:sz w:val="22"/>
          <w:szCs w:val="22"/>
        </w:rPr>
        <w:t xml:space="preserve"> inadempimenti contrattuali connessi alla definizione di una compravendita immobiliare, risoluzione del contratto per eccessiva onerosità sopravvenuta </w:t>
      </w:r>
      <w:r w:rsidRPr="00BF2E9E">
        <w:rPr>
          <w:rFonts w:ascii="Calibri" w:hAnsi="Calibri"/>
          <w:sz w:val="22"/>
          <w:szCs w:val="22"/>
        </w:rPr>
        <w:t>ecc.</w:t>
      </w:r>
      <w:r w:rsidR="003B7F71" w:rsidRPr="00BF2E9E">
        <w:rPr>
          <w:rFonts w:ascii="Calibri" w:hAnsi="Calibri"/>
          <w:sz w:val="22"/>
          <w:szCs w:val="22"/>
        </w:rPr>
        <w:t>,</w:t>
      </w:r>
      <w:r w:rsidRPr="00BF2E9E">
        <w:rPr>
          <w:rFonts w:ascii="Calibri" w:hAnsi="Calibri"/>
          <w:sz w:val="22"/>
          <w:szCs w:val="22"/>
        </w:rPr>
        <w:t xml:space="preserve"> </w:t>
      </w:r>
      <w:r w:rsidRPr="00BF2E9E">
        <w:rPr>
          <w:rFonts w:ascii="Calibri" w:hAnsi="Calibri"/>
          <w:b/>
          <w:sz w:val="22"/>
          <w:szCs w:val="22"/>
        </w:rPr>
        <w:t>è necessario il preventivo esperimento del procedimento di mediazione</w:t>
      </w:r>
      <w:r w:rsidRPr="00BF2E9E">
        <w:rPr>
          <w:rFonts w:ascii="Calibri" w:hAnsi="Calibri"/>
          <w:sz w:val="22"/>
          <w:szCs w:val="22"/>
        </w:rPr>
        <w:t xml:space="preserve"> ai sensi del comma 1-bis dell’articolo 5 del D. Lgs. 28/2010. </w:t>
      </w:r>
    </w:p>
    <w:p w14:paraId="29C8D530" w14:textId="77777777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4C691F30" w14:textId="28CACCAD" w:rsidR="00A85C75" w:rsidRPr="00BF2E9E" w:rsidRDefault="003B7F71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F2E9E">
        <w:rPr>
          <w:rFonts w:ascii="Calibri" w:hAnsi="Calibri"/>
          <w:sz w:val="22"/>
          <w:szCs w:val="22"/>
        </w:rPr>
        <w:t xml:space="preserve">È </w:t>
      </w:r>
      <w:r w:rsidR="00A85C75" w:rsidRPr="00BF2E9E">
        <w:rPr>
          <w:rFonts w:ascii="Calibri" w:hAnsi="Calibri"/>
          <w:sz w:val="22"/>
          <w:szCs w:val="22"/>
        </w:rPr>
        <w:t xml:space="preserve">quanto prevede il </w:t>
      </w:r>
      <w:r w:rsidR="00A85C75" w:rsidRPr="00BF2E9E">
        <w:rPr>
          <w:rFonts w:ascii="Calibri" w:hAnsi="Calibri"/>
          <w:sz w:val="22"/>
          <w:szCs w:val="22"/>
          <w:u w:val="single"/>
        </w:rPr>
        <w:t>nuovo comma 6-ter dell’articolo 3 DL 6/2020</w:t>
      </w:r>
      <w:r w:rsidR="00A85C75" w:rsidRPr="00BF2E9E">
        <w:rPr>
          <w:rFonts w:ascii="Calibri" w:hAnsi="Calibri"/>
          <w:sz w:val="22"/>
          <w:szCs w:val="22"/>
        </w:rPr>
        <w:t xml:space="preserve"> introdotto dalla legge di conversione del DL 28/2020 (pubblicata nella G.U. 29 giugno 2020, n. 162)</w:t>
      </w:r>
      <w:r w:rsidRPr="00BF2E9E">
        <w:rPr>
          <w:rFonts w:ascii="Calibri" w:hAnsi="Calibri"/>
          <w:sz w:val="22"/>
          <w:szCs w:val="22"/>
        </w:rPr>
        <w:t>,</w:t>
      </w:r>
      <w:r w:rsidR="00A85C75" w:rsidRPr="00BF2E9E">
        <w:rPr>
          <w:rFonts w:ascii="Calibri" w:hAnsi="Calibri"/>
          <w:sz w:val="22"/>
          <w:szCs w:val="22"/>
        </w:rPr>
        <w:t xml:space="preserve"> che di seguito si riporta. </w:t>
      </w:r>
    </w:p>
    <w:p w14:paraId="660F1E36" w14:textId="77777777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03"/>
      </w:tblGrid>
      <w:tr w:rsidR="00A85C75" w:rsidRPr="00A85C75" w14:paraId="08A5CDB1" w14:textId="77777777" w:rsidTr="00112228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5C36" w14:textId="77777777" w:rsidR="00A85C75" w:rsidRPr="00BF2E9E" w:rsidRDefault="00A85C75" w:rsidP="00A85C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F2E9E">
              <w:rPr>
                <w:rFonts w:ascii="Calibri" w:hAnsi="Calibri"/>
                <w:b/>
                <w:bCs/>
                <w:sz w:val="22"/>
                <w:szCs w:val="22"/>
              </w:rPr>
              <w:t>D.L. 23 febbraio 2020, n. 6</w:t>
            </w:r>
          </w:p>
          <w:p w14:paraId="28847369" w14:textId="77777777" w:rsidR="00A85C75" w:rsidRPr="00BF2E9E" w:rsidRDefault="00A85C75" w:rsidP="00A85C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F2E9E">
              <w:rPr>
                <w:rFonts w:ascii="Calibri" w:hAnsi="Calibri"/>
                <w:b/>
                <w:bCs/>
                <w:sz w:val="22"/>
                <w:szCs w:val="22"/>
              </w:rPr>
              <w:t>Art. 3.</w:t>
            </w:r>
            <w:r w:rsidRPr="00BF2E9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2E9E">
              <w:rPr>
                <w:rFonts w:ascii="Calibri" w:hAnsi="Calibri"/>
                <w:b/>
                <w:bCs/>
                <w:sz w:val="22"/>
                <w:szCs w:val="22"/>
              </w:rPr>
              <w:t>Attuazione delle misure di contenimento</w:t>
            </w:r>
          </w:p>
          <w:p w14:paraId="7C4C5D48" w14:textId="77777777" w:rsidR="00A85C75" w:rsidRPr="00BF2E9E" w:rsidRDefault="00A85C75" w:rsidP="00A85C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F2E9E">
              <w:rPr>
                <w:rFonts w:ascii="Calibri" w:hAnsi="Calibri" w:cs="Calibri"/>
                <w:sz w:val="22"/>
                <w:szCs w:val="22"/>
              </w:rPr>
              <w:t xml:space="preserve">6-bis. Il rispetto delle misure di contenimento di cui al presente decreto </w:t>
            </w:r>
            <w:r w:rsidRPr="00BF2E9E">
              <w:rPr>
                <w:rFonts w:ascii="Calibri" w:hAnsi="Calibri" w:cs="Calibri"/>
                <w:b/>
                <w:sz w:val="22"/>
                <w:szCs w:val="22"/>
              </w:rPr>
              <w:t>è sempre valutato ai fini dell'esclusione</w:t>
            </w:r>
            <w:r w:rsidRPr="00BF2E9E">
              <w:rPr>
                <w:rFonts w:ascii="Calibri" w:hAnsi="Calibri" w:cs="Calibri"/>
                <w:sz w:val="22"/>
                <w:szCs w:val="22"/>
              </w:rPr>
              <w:t xml:space="preserve">, ai sensi e per gli effetti degli articoli 1218 e 1223 del codice civile, della </w:t>
            </w:r>
            <w:r w:rsidRPr="00BF2E9E">
              <w:rPr>
                <w:rFonts w:ascii="Calibri" w:hAnsi="Calibri" w:cs="Calibri"/>
                <w:b/>
                <w:sz w:val="22"/>
                <w:szCs w:val="22"/>
              </w:rPr>
              <w:t>responsabilità</w:t>
            </w:r>
            <w:r w:rsidRPr="00BF2E9E">
              <w:rPr>
                <w:rFonts w:ascii="Calibri" w:hAnsi="Calibri" w:cs="Calibri"/>
                <w:sz w:val="22"/>
                <w:szCs w:val="22"/>
              </w:rPr>
              <w:t xml:space="preserve"> del debitore, anche relativamente all'applicazione di eventuali decadenze o penali connesse a ritardati o omessi adempimenti.</w:t>
            </w:r>
            <w:r w:rsidRPr="00BF2E9E">
              <w:rPr>
                <w:rFonts w:ascii="Calibri" w:hAnsi="Calibri" w:cs="Calibri"/>
                <w:sz w:val="22"/>
                <w:szCs w:val="22"/>
                <w:vertAlign w:val="superscript"/>
              </w:rPr>
              <w:t>1</w:t>
            </w:r>
          </w:p>
          <w:p w14:paraId="18A380B4" w14:textId="77777777" w:rsidR="00A85C75" w:rsidRPr="00BF2E9E" w:rsidRDefault="00A85C75" w:rsidP="00A85C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F2E9E">
              <w:rPr>
                <w:rFonts w:ascii="Calibri" w:hAnsi="Calibri" w:cs="Calibri"/>
                <w:sz w:val="22"/>
                <w:szCs w:val="22"/>
              </w:rPr>
              <w:t xml:space="preserve">6-ter. Nelle controversie in materia di obbligazioni contrattuali, nelle quali il rispetto delle misure di contenimento di cui al presente decreto, o comunque disposte durante l'emergenza epidemiologica da COVID-19 sulla base di disposizioni successive, </w:t>
            </w:r>
            <w:r w:rsidRPr="00BF2E9E">
              <w:rPr>
                <w:rFonts w:ascii="Calibri" w:hAnsi="Calibri" w:cs="Calibri"/>
                <w:b/>
                <w:sz w:val="22"/>
                <w:szCs w:val="22"/>
              </w:rPr>
              <w:t>può essere valutato ai sensi del comma 6-bis</w:t>
            </w:r>
            <w:r w:rsidRPr="00BF2E9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BF2E9E">
              <w:rPr>
                <w:rFonts w:ascii="Calibri" w:hAnsi="Calibri" w:cs="Calibri"/>
                <w:b/>
                <w:sz w:val="22"/>
                <w:szCs w:val="22"/>
              </w:rPr>
              <w:t>il preventivo esperimento del procedimento di mediazione</w:t>
            </w:r>
            <w:r w:rsidRPr="00BF2E9E">
              <w:rPr>
                <w:rFonts w:ascii="Calibri" w:hAnsi="Calibri" w:cs="Calibri"/>
                <w:sz w:val="22"/>
                <w:szCs w:val="22"/>
              </w:rPr>
              <w:t xml:space="preserve"> ai sensi del comma 1-bis dell'articolo 5 del decreto legislativo 4 marzo 2010, n. 28, </w:t>
            </w:r>
            <w:r w:rsidRPr="00BF2E9E">
              <w:rPr>
                <w:rFonts w:ascii="Calibri" w:hAnsi="Calibri" w:cs="Calibri"/>
                <w:b/>
                <w:sz w:val="22"/>
                <w:szCs w:val="22"/>
              </w:rPr>
              <w:t>costituisce condizione di procedibilità della domanda</w:t>
            </w:r>
            <w:r w:rsidRPr="00BF2E9E">
              <w:rPr>
                <w:rFonts w:ascii="Calibri" w:hAnsi="Calibri" w:cs="Calibri"/>
                <w:sz w:val="22"/>
                <w:szCs w:val="22"/>
              </w:rPr>
              <w:t>.</w:t>
            </w:r>
            <w:r w:rsidRPr="00BF2E9E"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</w:p>
          <w:p w14:paraId="538D4272" w14:textId="69306C1C" w:rsidR="00A85C75" w:rsidRPr="00BF2E9E" w:rsidRDefault="00A85C75" w:rsidP="00A85C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F2E9E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1 </w:t>
            </w:r>
            <w:r w:rsidRPr="00BF2E9E">
              <w:rPr>
                <w:rFonts w:ascii="Calibri" w:hAnsi="Calibri" w:cs="Calibri"/>
                <w:sz w:val="22"/>
                <w:szCs w:val="22"/>
              </w:rPr>
              <w:t>Comma aggiunto dall'art. 91, comma 1, DL 18/2020 (Decreto Cura Italia).</w:t>
            </w:r>
          </w:p>
          <w:p w14:paraId="6D3AED12" w14:textId="6163C3C3" w:rsidR="00A85C75" w:rsidRPr="00BF2E9E" w:rsidRDefault="00A85C75" w:rsidP="00A85C75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BF2E9E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2 </w:t>
            </w:r>
            <w:r w:rsidRPr="00BF2E9E">
              <w:rPr>
                <w:rFonts w:ascii="Calibri" w:hAnsi="Calibri" w:cs="Calibri"/>
                <w:sz w:val="22"/>
                <w:szCs w:val="22"/>
              </w:rPr>
              <w:t>Comma aggiunto dall'</w:t>
            </w:r>
            <w:hyperlink r:id="rId7" w:anchor="id=10LX0000891360ART18,__m=document" w:history="1">
              <w:r w:rsidRPr="00BF2E9E">
                <w:rPr>
                  <w:rFonts w:ascii="Calibri" w:hAnsi="Calibri" w:cs="Calibri"/>
                  <w:sz w:val="22"/>
                  <w:szCs w:val="22"/>
                </w:rPr>
                <w:t>art. 3, comma 1-quater, DL 28/2020 (</w:t>
              </w:r>
              <w:r w:rsidR="002528E7" w:rsidRPr="00BF2E9E">
                <w:rPr>
                  <w:rFonts w:ascii="Calibri" w:hAnsi="Calibri" w:cs="Calibri"/>
                  <w:sz w:val="22"/>
                  <w:szCs w:val="22"/>
                </w:rPr>
                <w:t>D</w:t>
              </w:r>
              <w:r w:rsidRPr="00BF2E9E">
                <w:rPr>
                  <w:rFonts w:ascii="Calibri" w:hAnsi="Calibri" w:cs="Calibri"/>
                  <w:sz w:val="22"/>
                  <w:szCs w:val="22"/>
                </w:rPr>
                <w:t>ecreto Giustizia)</w:t>
              </w:r>
            </w:hyperlink>
            <w:r w:rsidRPr="00BF2E9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71D64D4D" w14:textId="77777777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5BD0C668" w14:textId="6F4CD6B8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F2E9E">
        <w:rPr>
          <w:rFonts w:ascii="Calibri" w:hAnsi="Calibri"/>
          <w:sz w:val="22"/>
          <w:szCs w:val="22"/>
        </w:rPr>
        <w:t xml:space="preserve">La norma ha introdotto una nuova fattispecie di controversie per le quali si richiede il ricorso allo strumento della mediazione obbligatoria. </w:t>
      </w:r>
    </w:p>
    <w:p w14:paraId="1DCDF910" w14:textId="77777777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3586C14" w14:textId="495EDA4C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F2E9E">
        <w:rPr>
          <w:rFonts w:ascii="Calibri" w:hAnsi="Calibri"/>
          <w:sz w:val="22"/>
          <w:szCs w:val="22"/>
        </w:rPr>
        <w:t xml:space="preserve">L’art. 5, comma 1-bis, del D.lgs. 4 marzo 2010, n. 28, richiamato dal nuovo comma 6-ter </w:t>
      </w:r>
      <w:r w:rsidR="002528E7" w:rsidRPr="00BF2E9E">
        <w:rPr>
          <w:rFonts w:ascii="Calibri" w:hAnsi="Calibri"/>
          <w:sz w:val="22"/>
          <w:szCs w:val="22"/>
        </w:rPr>
        <w:t>contiene</w:t>
      </w:r>
      <w:r w:rsidRPr="00BF2E9E">
        <w:rPr>
          <w:rFonts w:ascii="Calibri" w:hAnsi="Calibri"/>
          <w:sz w:val="22"/>
          <w:szCs w:val="22"/>
        </w:rPr>
        <w:t xml:space="preserve">, infatti, la disciplina della mediazione finalizzata alla conciliazione delle controversie civili e commerciali. Tale articolo prevede che per l’esercizio in giudizio di un’azione relativa ad una controversia in materia di </w:t>
      </w:r>
      <w:r w:rsidRPr="00BF2E9E">
        <w:rPr>
          <w:rFonts w:ascii="Calibri" w:hAnsi="Calibri"/>
          <w:b/>
          <w:i/>
          <w:sz w:val="22"/>
          <w:szCs w:val="22"/>
        </w:rPr>
        <w:t>condominio, diritti reali, divisione, successioni ereditarie, patti di famiglia, locazione, comodato, affitto di aziende, risarcimento del danno derivante da responsabilità medica e sanitaria e da diffamazione con il mezzo della stampa o con altro mezzo di pubblicità, contratti assicurativi, bancari e finanziari</w:t>
      </w:r>
      <w:r w:rsidRPr="00BF2E9E">
        <w:rPr>
          <w:rFonts w:ascii="Calibri" w:hAnsi="Calibri"/>
          <w:sz w:val="22"/>
          <w:szCs w:val="22"/>
        </w:rPr>
        <w:t>, sia preliminarmente avviato il procedimento di mediazione con l’assistenza dell’avvocato.</w:t>
      </w:r>
    </w:p>
    <w:p w14:paraId="16724F0F" w14:textId="77777777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2237357A" w14:textId="10DA0158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BF2E9E">
        <w:rPr>
          <w:rFonts w:ascii="Calibri" w:hAnsi="Calibri"/>
          <w:sz w:val="22"/>
          <w:szCs w:val="22"/>
        </w:rPr>
        <w:lastRenderedPageBreak/>
        <w:t xml:space="preserve">Il preventivo esperimento del procedimento di mediazione costituisce ora condizione di procedibilità anche </w:t>
      </w:r>
      <w:r w:rsidRPr="00BF2E9E">
        <w:rPr>
          <w:rFonts w:ascii="Calibri" w:hAnsi="Calibri"/>
          <w:b/>
          <w:sz w:val="22"/>
          <w:szCs w:val="22"/>
        </w:rPr>
        <w:t>nelle controversie in materia di obbligazioni contrattuali nelle quali il rispetto delle misure di contenimento può essere valutato ai sensi del comma 6-bis</w:t>
      </w:r>
      <w:r w:rsidRPr="00BF2E9E">
        <w:rPr>
          <w:rFonts w:ascii="Calibri" w:hAnsi="Calibri"/>
          <w:sz w:val="22"/>
          <w:szCs w:val="22"/>
        </w:rPr>
        <w:t xml:space="preserve"> DL 6/2020. Si tratta di una clausola di esonero da responsabilità contrattuale che indica l’esigenza del rispetto delle misure di contenimento come potenzialmente idonea a giustificare la condotta inadempiente di una delle parti. </w:t>
      </w:r>
    </w:p>
    <w:p w14:paraId="3B0B46B0" w14:textId="77777777" w:rsidR="00A85C75" w:rsidRPr="00BF2E9E" w:rsidRDefault="00A85C75" w:rsidP="00A85C75">
      <w:pPr>
        <w:shd w:val="clear" w:color="auto" w:fill="FFFFFF"/>
        <w:jc w:val="both"/>
        <w:rPr>
          <w:rFonts w:ascii="Calibri" w:hAnsi="Calibri"/>
          <w:sz w:val="22"/>
          <w:szCs w:val="22"/>
        </w:rPr>
      </w:pPr>
    </w:p>
    <w:p w14:paraId="77BD27FC" w14:textId="77777777" w:rsidR="007930A8" w:rsidRPr="00BF2E9E" w:rsidRDefault="007930A8" w:rsidP="00A85C75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45572A77" w14:textId="64D8936A" w:rsidR="007930A8" w:rsidRPr="00BF2E9E" w:rsidRDefault="007930A8" w:rsidP="00A85C75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639C45D0" w14:textId="7D2F2383" w:rsidR="007930A8" w:rsidRPr="00BF2E9E" w:rsidRDefault="007930A8" w:rsidP="00A85C75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25F721D3" w14:textId="77777777" w:rsidR="007930A8" w:rsidRPr="00BF2E9E" w:rsidRDefault="007930A8" w:rsidP="00A85C75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70EB4914" w14:textId="77777777" w:rsidR="007930A8" w:rsidRPr="00BF2E9E" w:rsidRDefault="007930A8" w:rsidP="00A85C75">
      <w:pPr>
        <w:pStyle w:val="NormaleWeb"/>
        <w:jc w:val="both"/>
        <w:rPr>
          <w:rFonts w:ascii="Calibri" w:hAnsi="Calibri"/>
          <w:sz w:val="22"/>
          <w:szCs w:val="22"/>
        </w:rPr>
      </w:pPr>
    </w:p>
    <w:p w14:paraId="559C0EBE" w14:textId="14D95700" w:rsidR="006411DF" w:rsidRPr="00BF2E9E" w:rsidRDefault="006411DF" w:rsidP="00A85C75">
      <w:pPr>
        <w:pStyle w:val="NormaleWeb"/>
        <w:jc w:val="both"/>
        <w:rPr>
          <w:rStyle w:val="Enfasigrassetto"/>
          <w:rFonts w:ascii="Calibri" w:hAnsi="Calibri" w:cs="Calibri"/>
          <w:sz w:val="22"/>
          <w:szCs w:val="22"/>
        </w:rPr>
      </w:pPr>
      <w:r w:rsidRPr="00BF2E9E">
        <w:rPr>
          <w:rStyle w:val="Enfasigrassetto"/>
          <w:rFonts w:ascii="Calibri" w:hAnsi="Calibri" w:cs="Calibri"/>
          <w:sz w:val="22"/>
          <w:szCs w:val="22"/>
        </w:rPr>
        <w:t>Riferimenti:</w:t>
      </w:r>
    </w:p>
    <w:p w14:paraId="5EEE77D9" w14:textId="77777777" w:rsidR="006411DF" w:rsidRPr="00BF2E9E" w:rsidRDefault="006411DF" w:rsidP="00A85C75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BF2E9E">
        <w:rPr>
          <w:rFonts w:ascii="Calibri" w:hAnsi="Calibri" w:cs="Calibri"/>
          <w:sz w:val="22"/>
          <w:szCs w:val="22"/>
        </w:rPr>
        <w:t>ANCE UMBRIA</w:t>
      </w:r>
    </w:p>
    <w:p w14:paraId="7D78A98D" w14:textId="6B907D09" w:rsidR="006411DF" w:rsidRPr="00BF2E9E" w:rsidRDefault="006411DF" w:rsidP="00A85C75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BF2E9E">
        <w:rPr>
          <w:rFonts w:ascii="Calibri" w:hAnsi="Calibri" w:cs="Calibri"/>
          <w:sz w:val="22"/>
          <w:szCs w:val="22"/>
        </w:rPr>
        <w:t xml:space="preserve">Perugia – </w:t>
      </w:r>
      <w:hyperlink r:id="rId8" w:history="1">
        <w:r w:rsidRPr="00BF2E9E">
          <w:rPr>
            <w:rStyle w:val="Collegamentoipertestuale"/>
            <w:rFonts w:ascii="Calibri" w:hAnsi="Calibri" w:cs="Calibri"/>
            <w:sz w:val="22"/>
            <w:szCs w:val="22"/>
          </w:rPr>
          <w:t>info@anceumbria.it</w:t>
        </w:r>
      </w:hyperlink>
      <w:r w:rsidRPr="00BF2E9E">
        <w:rPr>
          <w:rFonts w:ascii="Calibri" w:hAnsi="Calibri" w:cs="Calibri"/>
          <w:sz w:val="22"/>
          <w:szCs w:val="22"/>
        </w:rPr>
        <w:t xml:space="preserve"> - Tel. 075/582751</w:t>
      </w:r>
    </w:p>
    <w:p w14:paraId="190D91BE" w14:textId="469279D8" w:rsidR="006411DF" w:rsidRPr="00BF2E9E" w:rsidRDefault="006411DF" w:rsidP="00A85C75">
      <w:pPr>
        <w:pStyle w:val="NormaleWeb"/>
        <w:jc w:val="both"/>
        <w:rPr>
          <w:rFonts w:ascii="Calibri" w:hAnsi="Calibri" w:cs="Calibri"/>
          <w:sz w:val="22"/>
          <w:szCs w:val="22"/>
        </w:rPr>
      </w:pPr>
      <w:r w:rsidRPr="00BF2E9E">
        <w:rPr>
          <w:rFonts w:ascii="Calibri" w:hAnsi="Calibri" w:cs="Calibri"/>
          <w:sz w:val="22"/>
          <w:szCs w:val="22"/>
        </w:rPr>
        <w:t xml:space="preserve">Terni - </w:t>
      </w:r>
      <w:hyperlink r:id="rId9" w:history="1">
        <w:r w:rsidRPr="00BF2E9E">
          <w:rPr>
            <w:rStyle w:val="Collegamentoipertestuale"/>
            <w:rFonts w:ascii="Calibri" w:hAnsi="Calibri" w:cs="Calibri"/>
            <w:sz w:val="22"/>
            <w:szCs w:val="22"/>
          </w:rPr>
          <w:t>edilizia@confindustria.terni.it</w:t>
        </w:r>
      </w:hyperlink>
      <w:r w:rsidRPr="00BF2E9E">
        <w:rPr>
          <w:rFonts w:ascii="Calibri" w:hAnsi="Calibri" w:cs="Calibri"/>
          <w:sz w:val="22"/>
          <w:szCs w:val="22"/>
        </w:rPr>
        <w:t xml:space="preserve"> - Tel. 0744/443411</w:t>
      </w:r>
    </w:p>
    <w:p w14:paraId="389CE1E4" w14:textId="7F95CC6F" w:rsidR="005A6420" w:rsidRPr="00BF2E9E" w:rsidRDefault="005A6420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892B783" w14:textId="2F970318" w:rsidR="007930A8" w:rsidRPr="00BF2E9E" w:rsidRDefault="007930A8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F5E75C7" w14:textId="75D926C3" w:rsidR="007930A8" w:rsidRPr="00BF2E9E" w:rsidRDefault="007930A8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26B0EE05" w14:textId="6CA7EDEF" w:rsidR="007930A8" w:rsidRPr="00BF2E9E" w:rsidRDefault="007930A8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15FEBE7" w14:textId="57E9BCFB" w:rsidR="007930A8" w:rsidRPr="00BF2E9E" w:rsidRDefault="007930A8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D03CEA3" w14:textId="561B2645" w:rsidR="007930A8" w:rsidRPr="00BF2E9E" w:rsidRDefault="007930A8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A9803D9" w14:textId="77777777" w:rsidR="007930A8" w:rsidRPr="00BF2E9E" w:rsidRDefault="007930A8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1868CA4F" w:rsidR="00783E6E" w:rsidRPr="00BF2E9E" w:rsidRDefault="00952E48" w:rsidP="00A85C7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BF2E9E">
        <w:rPr>
          <w:rFonts w:ascii="Calibri" w:hAnsi="Calibri" w:cs="Calibri"/>
          <w:sz w:val="22"/>
          <w:szCs w:val="22"/>
        </w:rPr>
        <w:t xml:space="preserve">Pubblicato il </w:t>
      </w:r>
      <w:r w:rsidR="0061389C" w:rsidRPr="00BF2E9E">
        <w:rPr>
          <w:rFonts w:ascii="Calibri" w:hAnsi="Calibri" w:cs="Calibri"/>
          <w:sz w:val="22"/>
          <w:szCs w:val="22"/>
        </w:rPr>
        <w:t>20/07</w:t>
      </w:r>
      <w:r w:rsidR="00297F87" w:rsidRPr="00BF2E9E">
        <w:rPr>
          <w:rFonts w:ascii="Calibri" w:hAnsi="Calibri" w:cs="Calibri"/>
          <w:sz w:val="22"/>
          <w:szCs w:val="22"/>
        </w:rPr>
        <w:t>/2020</w:t>
      </w:r>
    </w:p>
    <w:sectPr w:rsidR="00783E6E" w:rsidRPr="00BF2E9E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681B6" w14:textId="77777777" w:rsidR="00BF2E9E" w:rsidRDefault="00BF2E9E">
      <w:r>
        <w:separator/>
      </w:r>
    </w:p>
  </w:endnote>
  <w:endnote w:type="continuationSeparator" w:id="0">
    <w:p w14:paraId="308735C9" w14:textId="77777777" w:rsidR="00BF2E9E" w:rsidRDefault="00BF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BD80" w14:textId="77777777" w:rsidR="00BF2E9E" w:rsidRDefault="00BF2E9E">
      <w:r>
        <w:separator/>
      </w:r>
    </w:p>
  </w:footnote>
  <w:footnote w:type="continuationSeparator" w:id="0">
    <w:p w14:paraId="2CB01694" w14:textId="77777777" w:rsidR="00BF2E9E" w:rsidRDefault="00BF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BF2E9E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8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541C"/>
    <w:rsid w:val="00197786"/>
    <w:rsid w:val="001A0EA6"/>
    <w:rsid w:val="001A61DB"/>
    <w:rsid w:val="001B0373"/>
    <w:rsid w:val="001B1366"/>
    <w:rsid w:val="001B68B7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28E7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0B57"/>
    <w:rsid w:val="003B6D95"/>
    <w:rsid w:val="003B7ED2"/>
    <w:rsid w:val="003B7F71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389C"/>
    <w:rsid w:val="00617528"/>
    <w:rsid w:val="00625F3C"/>
    <w:rsid w:val="00633A04"/>
    <w:rsid w:val="00634F54"/>
    <w:rsid w:val="006370DF"/>
    <w:rsid w:val="006411A6"/>
    <w:rsid w:val="006411DF"/>
    <w:rsid w:val="00646791"/>
    <w:rsid w:val="00654840"/>
    <w:rsid w:val="00673C44"/>
    <w:rsid w:val="00684F34"/>
    <w:rsid w:val="00686CD4"/>
    <w:rsid w:val="0069445C"/>
    <w:rsid w:val="00696623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0A8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3432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D58A8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5C75"/>
    <w:rsid w:val="00A86C5A"/>
    <w:rsid w:val="00A874BE"/>
    <w:rsid w:val="00A92403"/>
    <w:rsid w:val="00AA0D22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BF2E9E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CF6D2A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06540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iolegale.leggiditalia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53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4174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hp</cp:lastModifiedBy>
  <cp:revision>5</cp:revision>
  <cp:lastPrinted>2019-02-27T17:41:00Z</cp:lastPrinted>
  <dcterms:created xsi:type="dcterms:W3CDTF">2020-07-20T14:35:00Z</dcterms:created>
  <dcterms:modified xsi:type="dcterms:W3CDTF">2020-07-20T16:32:00Z</dcterms:modified>
</cp:coreProperties>
</file>