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EAE3" w14:textId="73068260" w:rsidR="00E22FAF" w:rsidRPr="00E22FAF" w:rsidRDefault="00290C4E" w:rsidP="005C4054">
      <w:pPr>
        <w:pStyle w:val="Rientrocorpodeltesto"/>
        <w:ind w:left="0"/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</w:pPr>
      <w:r w:rsidRPr="00290C4E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Semplificazioni: proposte in materia di permitting e decarbonizzazione </w:t>
      </w:r>
      <w:r w:rsidR="00952E48"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31382FC6" w14:textId="77777777" w:rsidR="00E22FAF" w:rsidRDefault="00E22FAF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</w:pPr>
    </w:p>
    <w:p w14:paraId="31730A80" w14:textId="3F385468" w:rsidR="00990377" w:rsidRPr="00990377" w:rsidRDefault="00290C4E" w:rsidP="005C405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imes New Roman"/>
          <w:color w:val="000000"/>
        </w:rPr>
      </w:pPr>
      <w:r w:rsidRPr="00290C4E">
        <w:rPr>
          <w:rFonts w:asciiTheme="minorHAnsi" w:hAnsiTheme="minorHAnsi" w:cs="Times New Roman"/>
          <w:color w:val="000000"/>
        </w:rPr>
        <w:t>Aggiornamenti da Confindustria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1F375B78" w14:textId="7EBB53BE" w:rsidR="00290C4E" w:rsidRPr="00290C4E" w:rsidRDefault="00290C4E" w:rsidP="00290C4E">
      <w:pPr>
        <w:pStyle w:val="NormaleWeb"/>
        <w:shd w:val="clear" w:color="auto" w:fill="FFFFFF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 xml:space="preserve">Confindustria ci ha messo a disposizione la seguente documentazione, che può essere </w:t>
      </w:r>
      <w:r>
        <w:rPr>
          <w:rFonts w:asciiTheme="minorHAnsi" w:hAnsiTheme="minorHAnsi"/>
          <w:color w:val="201F1E"/>
        </w:rPr>
        <w:t>r</w:t>
      </w:r>
      <w:r w:rsidRPr="00290C4E">
        <w:rPr>
          <w:rFonts w:asciiTheme="minorHAnsi" w:hAnsiTheme="minorHAnsi"/>
          <w:color w:val="201F1E"/>
        </w:rPr>
        <w:t>ichiesta ai</w:t>
      </w:r>
      <w:r>
        <w:rPr>
          <w:rFonts w:asciiTheme="minorHAnsi" w:hAnsiTheme="minorHAnsi"/>
          <w:color w:val="201F1E"/>
        </w:rPr>
        <w:t xml:space="preserve"> </w:t>
      </w:r>
      <w:r w:rsidRPr="00290C4E">
        <w:rPr>
          <w:rFonts w:asciiTheme="minorHAnsi" w:hAnsiTheme="minorHAnsi"/>
          <w:color w:val="201F1E"/>
        </w:rPr>
        <w:t>nostri Uffici, in materia di permitting ambientale e decarbonizzazione:</w:t>
      </w:r>
    </w:p>
    <w:p w14:paraId="29BCC1BE" w14:textId="77777777" w:rsidR="00290C4E" w:rsidRPr="00290C4E" w:rsidRDefault="00290C4E" w:rsidP="00290C4E">
      <w:pPr>
        <w:numPr>
          <w:ilvl w:val="0"/>
          <w:numId w:val="19"/>
        </w:numPr>
        <w:shd w:val="clear" w:color="auto" w:fill="FFFFFF"/>
        <w:rPr>
          <w:rFonts w:asciiTheme="minorHAnsi" w:hAnsiTheme="minorHAnsi" w:cs="Segoe UI"/>
          <w:color w:val="201F1E"/>
          <w:sz w:val="22"/>
          <w:szCs w:val="22"/>
        </w:rPr>
      </w:pPr>
      <w:r w:rsidRPr="00290C4E">
        <w:rPr>
          <w:rFonts w:asciiTheme="minorHAnsi" w:hAnsiTheme="minorHAnsi" w:cs="Segoe UI"/>
          <w:color w:val="201F1E"/>
          <w:sz w:val="22"/>
          <w:szCs w:val="22"/>
        </w:rPr>
        <w:t>le proposte avanzate dalla Conferenza delle Regioni;</w:t>
      </w:r>
    </w:p>
    <w:p w14:paraId="496163E0" w14:textId="77777777" w:rsidR="00290C4E" w:rsidRPr="00290C4E" w:rsidRDefault="00290C4E" w:rsidP="00290C4E">
      <w:pPr>
        <w:numPr>
          <w:ilvl w:val="0"/>
          <w:numId w:val="19"/>
        </w:numPr>
        <w:shd w:val="clear" w:color="auto" w:fill="FFFFFF"/>
        <w:rPr>
          <w:rFonts w:asciiTheme="minorHAnsi" w:hAnsiTheme="minorHAnsi" w:cs="Segoe UI"/>
          <w:color w:val="201F1E"/>
          <w:sz w:val="22"/>
          <w:szCs w:val="22"/>
        </w:rPr>
      </w:pPr>
      <w:r w:rsidRPr="00290C4E">
        <w:rPr>
          <w:rFonts w:asciiTheme="minorHAnsi" w:hAnsiTheme="minorHAnsi" w:cs="Segoe UI"/>
          <w:color w:val="201F1E"/>
          <w:sz w:val="22"/>
          <w:szCs w:val="22"/>
        </w:rPr>
        <w:t>il pacchetto di proposte di Confindustria;</w:t>
      </w:r>
    </w:p>
    <w:p w14:paraId="384157A6" w14:textId="77777777" w:rsidR="00290C4E" w:rsidRPr="00290C4E" w:rsidRDefault="00290C4E" w:rsidP="00290C4E">
      <w:pPr>
        <w:numPr>
          <w:ilvl w:val="0"/>
          <w:numId w:val="19"/>
        </w:numPr>
        <w:shd w:val="clear" w:color="auto" w:fill="FFFFFF"/>
        <w:rPr>
          <w:rFonts w:asciiTheme="minorHAnsi" w:hAnsiTheme="minorHAnsi" w:cs="Segoe UI"/>
          <w:color w:val="201F1E"/>
          <w:sz w:val="22"/>
          <w:szCs w:val="22"/>
        </w:rPr>
      </w:pPr>
      <w:r w:rsidRPr="00290C4E">
        <w:rPr>
          <w:rFonts w:asciiTheme="minorHAnsi" w:hAnsiTheme="minorHAnsi" w:cs="Segoe UI"/>
          <w:color w:val="201F1E"/>
          <w:sz w:val="22"/>
          <w:szCs w:val="22"/>
        </w:rPr>
        <w:t>lo stralcio del DL con le norme di interesse.</w:t>
      </w:r>
    </w:p>
    <w:p w14:paraId="3DCC5BE3" w14:textId="77777777" w:rsidR="00290C4E" w:rsidRPr="00290C4E" w:rsidRDefault="00290C4E" w:rsidP="00290C4E">
      <w:pPr>
        <w:shd w:val="clear" w:color="auto" w:fill="FFFFFF"/>
        <w:ind w:left="720"/>
        <w:rPr>
          <w:rFonts w:asciiTheme="minorHAnsi" w:hAnsiTheme="minorHAnsi" w:cs="Segoe UI"/>
          <w:color w:val="201F1E"/>
          <w:sz w:val="22"/>
          <w:szCs w:val="22"/>
        </w:rPr>
      </w:pPr>
    </w:p>
    <w:p w14:paraId="63EDF279" w14:textId="76F64DBC" w:rsidR="00290C4E" w:rsidRPr="00290C4E" w:rsidRDefault="00290C4E" w:rsidP="00290C4E">
      <w:pPr>
        <w:pStyle w:val="NormaleWeb"/>
        <w:shd w:val="clear" w:color="auto" w:fill="FFFFFF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Con riguardo alle proposte di Confindustria, la prima, rubricata </w:t>
      </w:r>
      <w:r w:rsidRPr="00290C4E">
        <w:rPr>
          <w:rFonts w:asciiTheme="minorHAnsi" w:hAnsiTheme="minorHAnsi"/>
          <w:i/>
          <w:iCs/>
          <w:color w:val="201F1E"/>
        </w:rPr>
        <w:t>“Fast Track del provvedimento unico di VIA”</w:t>
      </w:r>
      <w:r w:rsidRPr="00290C4E">
        <w:rPr>
          <w:rFonts w:asciiTheme="minorHAnsi" w:hAnsiTheme="minorHAnsi"/>
          <w:color w:val="201F1E"/>
        </w:rPr>
        <w:t>, è stata in parte recepita nel provvedimento approvato dal Governo </w:t>
      </w:r>
      <w:r w:rsidRPr="00290C4E">
        <w:rPr>
          <w:rFonts w:asciiTheme="minorHAnsi" w:hAnsiTheme="minorHAnsi"/>
          <w:i/>
          <w:iCs/>
          <w:color w:val="201F1E"/>
        </w:rPr>
        <w:t>salvo intese, </w:t>
      </w:r>
      <w:r w:rsidRPr="00290C4E">
        <w:rPr>
          <w:rFonts w:asciiTheme="minorHAnsi" w:hAnsiTheme="minorHAnsi"/>
          <w:color w:val="201F1E"/>
        </w:rPr>
        <w:t>tuttavia Confindustria</w:t>
      </w:r>
      <w:r>
        <w:rPr>
          <w:rFonts w:asciiTheme="minorHAnsi" w:hAnsiTheme="minorHAnsi"/>
          <w:color w:val="201F1E"/>
        </w:rPr>
        <w:t xml:space="preserve"> </w:t>
      </w:r>
      <w:r w:rsidRPr="00290C4E">
        <w:rPr>
          <w:rFonts w:asciiTheme="minorHAnsi" w:hAnsiTheme="minorHAnsi"/>
          <w:color w:val="201F1E"/>
        </w:rPr>
        <w:t xml:space="preserve">ritiene opportuno mettere a disposizione la proposta per facilitare, se del caso, con il drafting puntuale di modifica alle norme del DL </w:t>
      </w:r>
      <w:r>
        <w:rPr>
          <w:rFonts w:asciiTheme="minorHAnsi" w:hAnsiTheme="minorHAnsi"/>
          <w:color w:val="201F1E"/>
        </w:rPr>
        <w:t>S</w:t>
      </w:r>
      <w:r w:rsidRPr="00290C4E">
        <w:rPr>
          <w:rFonts w:asciiTheme="minorHAnsi" w:hAnsiTheme="minorHAnsi"/>
          <w:color w:val="201F1E"/>
        </w:rPr>
        <w:t>emplificazioni.</w:t>
      </w:r>
    </w:p>
    <w:p w14:paraId="3A7BF216" w14:textId="77777777" w:rsidR="00290C4E" w:rsidRPr="00290C4E" w:rsidRDefault="00290C4E" w:rsidP="00290C4E">
      <w:pPr>
        <w:pStyle w:val="NormaleWeb"/>
        <w:shd w:val="clear" w:color="auto" w:fill="FFFFFF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La pubblicazione del decreto legge è prevista ormai a giorni ed è perciò opportuno iniziare a verificare quali proposte portare avanti come Confindustria e se, e in che misura, supportare quelle contenute nel DL, come anche quelle avanzate dalle Regioni.</w:t>
      </w:r>
    </w:p>
    <w:p w14:paraId="4E136C1D" w14:textId="00D39D25" w:rsidR="00290C4E" w:rsidRPr="00290C4E" w:rsidRDefault="00290C4E" w:rsidP="00290C4E">
      <w:pPr>
        <w:pStyle w:val="NormaleWeb"/>
        <w:shd w:val="clear" w:color="auto" w:fill="FFFFFF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 xml:space="preserve">Si chiede pertanto di inviare eventuali considerazioni e commenti </w:t>
      </w:r>
      <w:r w:rsidRPr="00290C4E">
        <w:rPr>
          <w:rFonts w:asciiTheme="minorHAnsi" w:hAnsiTheme="minorHAnsi"/>
          <w:b/>
          <w:bCs/>
          <w:color w:val="201F1E"/>
        </w:rPr>
        <w:t>entro venerdì 17 luglio</w:t>
      </w:r>
      <w:r w:rsidRPr="00290C4E">
        <w:rPr>
          <w:rFonts w:asciiTheme="minorHAnsi" w:hAnsiTheme="minorHAnsi"/>
          <w:color w:val="201F1E"/>
        </w:rPr>
        <w:t>, in modo da essere pronti in vista dell’avvio dei lavori in Parlamento, tenendo conto delle priorità già emerse durante la riunione plenaria, da portare avanti </w:t>
      </w:r>
      <w:r w:rsidRPr="00290C4E">
        <w:rPr>
          <w:rFonts w:asciiTheme="minorHAnsi" w:hAnsiTheme="minorHAnsi"/>
          <w:b/>
          <w:bCs/>
          <w:color w:val="201F1E"/>
        </w:rPr>
        <w:t>sia mediante proposte puntuali di modifica normativa, sia attraverso strategie di policy,</w:t>
      </w:r>
      <w:r w:rsidRPr="00290C4E">
        <w:rPr>
          <w:rFonts w:asciiTheme="minorHAnsi" w:hAnsiTheme="minorHAnsi"/>
          <w:color w:val="201F1E"/>
        </w:rPr>
        <w:t> ossia: </w:t>
      </w:r>
    </w:p>
    <w:p w14:paraId="5A2779D6" w14:textId="2B27C7A1" w:rsidR="00290C4E" w:rsidRPr="00290C4E" w:rsidRDefault="00290C4E" w:rsidP="00290C4E">
      <w:pPr>
        <w:pStyle w:val="Normale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1) </w:t>
      </w:r>
      <w:r>
        <w:rPr>
          <w:rFonts w:asciiTheme="minorHAnsi" w:hAnsiTheme="minorHAnsi"/>
          <w:b/>
          <w:bCs/>
          <w:color w:val="201F1E"/>
        </w:rPr>
        <w:t>p</w:t>
      </w:r>
      <w:r w:rsidRPr="00290C4E">
        <w:rPr>
          <w:rFonts w:asciiTheme="minorHAnsi" w:hAnsiTheme="minorHAnsi"/>
          <w:b/>
          <w:bCs/>
          <w:color w:val="201F1E"/>
        </w:rPr>
        <w:t>reservare, durante la fase di conversione in legge del provvedimento, le proposte di Confindustria</w:t>
      </w:r>
      <w:r w:rsidRPr="00290C4E">
        <w:rPr>
          <w:rFonts w:asciiTheme="minorHAnsi" w:hAnsiTheme="minorHAnsi"/>
          <w:color w:val="201F1E"/>
        </w:rPr>
        <w:t> che sono già confluite all’interno del provvedimento, da mettere in atto mediante solide argomentazioni sull’impatto economico che le stesse sono in grado di generare per il mondo produttivo; </w:t>
      </w:r>
    </w:p>
    <w:p w14:paraId="3779F6C3" w14:textId="2DA51ADF" w:rsidR="00290C4E" w:rsidRPr="00290C4E" w:rsidRDefault="00290C4E" w:rsidP="00290C4E">
      <w:pPr>
        <w:pStyle w:val="Normale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2) </w:t>
      </w:r>
      <w:r>
        <w:rPr>
          <w:rFonts w:asciiTheme="minorHAnsi" w:hAnsiTheme="minorHAnsi"/>
          <w:b/>
          <w:bCs/>
          <w:color w:val="201F1E"/>
        </w:rPr>
        <w:t>c</w:t>
      </w:r>
      <w:r w:rsidRPr="00290C4E">
        <w:rPr>
          <w:rFonts w:asciiTheme="minorHAnsi" w:hAnsiTheme="minorHAnsi"/>
          <w:b/>
          <w:bCs/>
          <w:color w:val="201F1E"/>
        </w:rPr>
        <w:t>ertezza dei tempi</w:t>
      </w:r>
      <w:r w:rsidRPr="00290C4E">
        <w:rPr>
          <w:rFonts w:asciiTheme="minorHAnsi" w:hAnsiTheme="minorHAnsi"/>
          <w:color w:val="201F1E"/>
        </w:rPr>
        <w:t>: le disposizioni volte al restringimento delle tempistiche di adozione dei provvedimenti autorizzatori devono essere armonizzate con l’aspetto, fondamentale, della loro certezza, tenendo comunque sempre presenti le peculiarità della normativa ambientale; </w:t>
      </w:r>
    </w:p>
    <w:p w14:paraId="5CFC5F85" w14:textId="765E239A" w:rsidR="00290C4E" w:rsidRPr="00290C4E" w:rsidRDefault="00290C4E" w:rsidP="00290C4E">
      <w:pPr>
        <w:pStyle w:val="Normale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3) </w:t>
      </w:r>
      <w:r>
        <w:rPr>
          <w:rFonts w:asciiTheme="minorHAnsi" w:hAnsiTheme="minorHAnsi"/>
          <w:b/>
          <w:bCs/>
          <w:color w:val="201F1E"/>
        </w:rPr>
        <w:t>c</w:t>
      </w:r>
      <w:r w:rsidRPr="00290C4E">
        <w:rPr>
          <w:rFonts w:asciiTheme="minorHAnsi" w:hAnsiTheme="minorHAnsi"/>
          <w:b/>
          <w:bCs/>
          <w:color w:val="201F1E"/>
        </w:rPr>
        <w:t>ollaborazione con le Regioni</w:t>
      </w:r>
      <w:r w:rsidRPr="00290C4E">
        <w:rPr>
          <w:rFonts w:asciiTheme="minorHAnsi" w:hAnsiTheme="minorHAnsi"/>
          <w:color w:val="201F1E"/>
        </w:rPr>
        <w:t> per creare sinergie nelle proposte; </w:t>
      </w:r>
    </w:p>
    <w:p w14:paraId="58E9527F" w14:textId="5DE66E23" w:rsidR="00290C4E" w:rsidRPr="00290C4E" w:rsidRDefault="00290C4E" w:rsidP="00290C4E">
      <w:pPr>
        <w:pStyle w:val="Normale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4) </w:t>
      </w:r>
      <w:r>
        <w:rPr>
          <w:rFonts w:asciiTheme="minorHAnsi" w:hAnsiTheme="minorHAnsi"/>
          <w:b/>
          <w:bCs/>
          <w:color w:val="201F1E"/>
        </w:rPr>
        <w:t>c</w:t>
      </w:r>
      <w:r w:rsidRPr="00290C4E">
        <w:rPr>
          <w:rFonts w:asciiTheme="minorHAnsi" w:hAnsiTheme="minorHAnsi"/>
          <w:b/>
          <w:bCs/>
          <w:color w:val="201F1E"/>
        </w:rPr>
        <w:t>ompetenza degli Uffici e dei funzionari pubblici</w:t>
      </w:r>
      <w:r w:rsidRPr="00290C4E">
        <w:rPr>
          <w:rFonts w:asciiTheme="minorHAnsi" w:hAnsiTheme="minorHAnsi"/>
          <w:color w:val="201F1E"/>
        </w:rPr>
        <w:t> con un focus sulla dotazione organica e la corretta distribuzione del personale. Affrontare il tema della “buona Amministrazione”; </w:t>
      </w:r>
    </w:p>
    <w:p w14:paraId="0A0EC288" w14:textId="2E2C335D" w:rsidR="00290C4E" w:rsidRPr="00290C4E" w:rsidRDefault="00290C4E" w:rsidP="00290C4E">
      <w:pPr>
        <w:pStyle w:val="Normale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5)</w:t>
      </w:r>
      <w:r>
        <w:rPr>
          <w:rFonts w:asciiTheme="minorHAnsi" w:hAnsiTheme="minorHAnsi"/>
          <w:color w:val="201F1E"/>
        </w:rPr>
        <w:t xml:space="preserve"> </w:t>
      </w:r>
      <w:r>
        <w:rPr>
          <w:rFonts w:asciiTheme="minorHAnsi" w:hAnsiTheme="minorHAnsi"/>
          <w:b/>
          <w:bCs/>
          <w:color w:val="201F1E"/>
        </w:rPr>
        <w:t>r</w:t>
      </w:r>
      <w:r w:rsidRPr="00290C4E">
        <w:rPr>
          <w:rFonts w:asciiTheme="minorHAnsi" w:hAnsiTheme="minorHAnsi"/>
          <w:b/>
          <w:bCs/>
          <w:color w:val="201F1E"/>
        </w:rPr>
        <w:t>esponsabilizzazione della Pubblica Amministrazione,</w:t>
      </w:r>
      <w:r w:rsidRPr="00290C4E">
        <w:rPr>
          <w:rFonts w:asciiTheme="minorHAnsi" w:hAnsiTheme="minorHAnsi"/>
          <w:color w:val="201F1E"/>
        </w:rPr>
        <w:t> come tema trasversale da applicare a tutte le misure; </w:t>
      </w:r>
    </w:p>
    <w:p w14:paraId="7349A090" w14:textId="59D7E0EA" w:rsidR="00290C4E" w:rsidRPr="00290C4E" w:rsidRDefault="00290C4E" w:rsidP="00290C4E">
      <w:pPr>
        <w:pStyle w:val="NormaleWeb"/>
        <w:shd w:val="clear" w:color="auto" w:fill="FFFFFF"/>
        <w:jc w:val="both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t>6)</w:t>
      </w:r>
      <w:r w:rsidRPr="00290C4E">
        <w:rPr>
          <w:rFonts w:asciiTheme="minorHAnsi" w:hAnsiTheme="minorHAnsi"/>
          <w:b/>
          <w:bCs/>
          <w:color w:val="201F1E"/>
        </w:rPr>
        <w:t> </w:t>
      </w:r>
      <w:r>
        <w:rPr>
          <w:rFonts w:asciiTheme="minorHAnsi" w:hAnsiTheme="minorHAnsi"/>
          <w:b/>
          <w:bCs/>
          <w:color w:val="201F1E"/>
        </w:rPr>
        <w:t>r</w:t>
      </w:r>
      <w:bookmarkStart w:id="0" w:name="_GoBack"/>
      <w:bookmarkEnd w:id="0"/>
      <w:r w:rsidRPr="00290C4E">
        <w:rPr>
          <w:rFonts w:asciiTheme="minorHAnsi" w:hAnsiTheme="minorHAnsi"/>
          <w:b/>
          <w:bCs/>
          <w:color w:val="201F1E"/>
        </w:rPr>
        <w:t>afforzare il confronto con la Pubblica Amministrazione</w:t>
      </w:r>
      <w:r w:rsidRPr="00290C4E">
        <w:rPr>
          <w:rFonts w:asciiTheme="minorHAnsi" w:hAnsiTheme="minorHAnsi"/>
          <w:color w:val="201F1E"/>
        </w:rPr>
        <w:t>, estendendolo a tutte le fasi cruciali in cui il dialogo tra proponente e PA può essere di per sé idoneo ad accelerare le procedure e quindi il buon esito dei progetti da realizzare. </w:t>
      </w:r>
    </w:p>
    <w:p w14:paraId="6AA1A740" w14:textId="77777777" w:rsidR="00290C4E" w:rsidRPr="00290C4E" w:rsidRDefault="00290C4E" w:rsidP="00290C4E">
      <w:pPr>
        <w:pStyle w:val="NormaleWeb"/>
        <w:shd w:val="clear" w:color="auto" w:fill="FFFFFF"/>
        <w:rPr>
          <w:rFonts w:asciiTheme="minorHAnsi" w:hAnsiTheme="minorHAnsi"/>
          <w:color w:val="201F1E"/>
        </w:rPr>
      </w:pPr>
      <w:r w:rsidRPr="00290C4E">
        <w:rPr>
          <w:rFonts w:asciiTheme="minorHAnsi" w:hAnsiTheme="minorHAnsi"/>
          <w:color w:val="201F1E"/>
        </w:rPr>
        <w:lastRenderedPageBreak/>
        <w:t> </w:t>
      </w:r>
    </w:p>
    <w:p w14:paraId="569A34AA" w14:textId="0730FB03" w:rsidR="00290C4E" w:rsidRPr="00290C4E" w:rsidRDefault="00290C4E" w:rsidP="00290C4E">
      <w:pPr>
        <w:pStyle w:val="NormaleWeb"/>
        <w:shd w:val="clear" w:color="auto" w:fill="FFFFFF"/>
        <w:rPr>
          <w:rFonts w:asciiTheme="minorHAnsi" w:hAnsiTheme="minorHAnsi"/>
          <w:color w:val="201F1E"/>
        </w:rPr>
      </w:pPr>
      <w:r>
        <w:rPr>
          <w:rFonts w:asciiTheme="minorHAnsi" w:hAnsiTheme="minorHAnsi"/>
          <w:color w:val="201F1E"/>
        </w:rPr>
        <w:t>Restiamo</w:t>
      </w:r>
      <w:r w:rsidRPr="00290C4E">
        <w:rPr>
          <w:rFonts w:asciiTheme="minorHAnsi" w:hAnsiTheme="minorHAnsi"/>
          <w:color w:val="201F1E"/>
        </w:rPr>
        <w:t xml:space="preserve"> a disposizione per ogni chiarimento.</w:t>
      </w: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5C4054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5C4054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5C4054">
      <w:pPr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7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3ED1AA90" w:rsidR="00115A2B" w:rsidRPr="00990377" w:rsidRDefault="00031409" w:rsidP="005C4054">
      <w:pPr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 xml:space="preserve">Dott. Di Matteo Tel. 075/5820227 - </w:t>
      </w:r>
      <w:r w:rsidR="00FF63A6">
        <w:rPr>
          <w:rFonts w:asciiTheme="minorHAnsi" w:hAnsiTheme="minorHAnsi"/>
          <w:color w:val="000000"/>
          <w:sz w:val="22"/>
          <w:szCs w:val="22"/>
        </w:rPr>
        <w:t>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233FD226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5C4054">
        <w:rPr>
          <w:rFonts w:asciiTheme="minorHAnsi" w:hAnsiTheme="minorHAnsi" w:cs="Arial"/>
          <w:sz w:val="22"/>
          <w:szCs w:val="22"/>
        </w:rPr>
        <w:t>14</w:t>
      </w:r>
      <w:r w:rsidR="00CF4E77">
        <w:rPr>
          <w:rFonts w:asciiTheme="minorHAnsi" w:hAnsiTheme="minorHAnsi" w:cs="Arial"/>
          <w:sz w:val="22"/>
          <w:szCs w:val="22"/>
        </w:rPr>
        <w:t>/07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8"/>
      <w:footerReference w:type="first" r:id="rId9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0B65F" w14:textId="77777777" w:rsidR="001C7901" w:rsidRDefault="001C7901">
      <w:r>
        <w:separator/>
      </w:r>
    </w:p>
  </w:endnote>
  <w:endnote w:type="continuationSeparator" w:id="0">
    <w:p w14:paraId="64CC78C6" w14:textId="77777777" w:rsidR="001C7901" w:rsidRDefault="001C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E9939" w14:textId="77777777" w:rsidR="001C7901" w:rsidRDefault="001C7901">
      <w:r>
        <w:separator/>
      </w:r>
    </w:p>
  </w:footnote>
  <w:footnote w:type="continuationSeparator" w:id="0">
    <w:p w14:paraId="4BCE3971" w14:textId="77777777" w:rsidR="001C7901" w:rsidRDefault="001C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4441A"/>
    <w:multiLevelType w:val="multilevel"/>
    <w:tmpl w:val="DAC6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4"/>
  </w:num>
  <w:num w:numId="7">
    <w:abstractNumId w:val="1"/>
  </w:num>
  <w:num w:numId="8">
    <w:abstractNumId w:val="0"/>
  </w:num>
  <w:num w:numId="9">
    <w:abstractNumId w:val="12"/>
  </w:num>
  <w:num w:numId="10">
    <w:abstractNumId w:val="18"/>
  </w:num>
  <w:num w:numId="11">
    <w:abstractNumId w:val="7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8"/>
  </w:num>
  <w:num w:numId="17">
    <w:abstractNumId w:val="17"/>
  </w:num>
  <w:num w:numId="18">
    <w:abstractNumId w:val="5"/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C7901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0C4E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E7E31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D36CE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038E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4054"/>
    <w:rsid w:val="005C51D8"/>
    <w:rsid w:val="005C7654"/>
    <w:rsid w:val="005C77A2"/>
    <w:rsid w:val="005E2AB6"/>
    <w:rsid w:val="005E30AC"/>
    <w:rsid w:val="005E5DA8"/>
    <w:rsid w:val="005E6DB5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778A6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4E77"/>
    <w:rsid w:val="00CF5FB8"/>
    <w:rsid w:val="00D00919"/>
    <w:rsid w:val="00D00E78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56992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2FAF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031C9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  <w:rsid w:val="00FF63A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11</cp:revision>
  <cp:lastPrinted>2020-07-02T06:59:00Z</cp:lastPrinted>
  <dcterms:created xsi:type="dcterms:W3CDTF">2020-07-02T06:45:00Z</dcterms:created>
  <dcterms:modified xsi:type="dcterms:W3CDTF">2020-07-14T14:36:00Z</dcterms:modified>
</cp:coreProperties>
</file>