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62C4" w14:textId="7534AD96" w:rsidR="00D44D11" w:rsidRDefault="00C545BE" w:rsidP="00C3700B">
      <w:pPr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D40912" w:rsidRPr="00D40912">
        <w:rPr>
          <w:rFonts w:ascii="Calibri" w:hAnsi="Calibri" w:cs="Calibri Light"/>
          <w:b/>
          <w:bCs/>
          <w:sz w:val="22"/>
          <w:szCs w:val="22"/>
        </w:rPr>
        <w:t>Passaggio al Senato del Decreto Rilancio: le novità per il Superbonus</w:t>
      </w:r>
    </w:p>
    <w:p w14:paraId="32D23474" w14:textId="77777777" w:rsidR="00D44D11" w:rsidRDefault="00D44D11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091E0535" w14:textId="00F43820" w:rsidR="003A5BAA" w:rsidRPr="00747106" w:rsidRDefault="00336DC4" w:rsidP="00270D53">
      <w:pPr>
        <w:rPr>
          <w:rFonts w:ascii="Calibri" w:hAnsi="Calibri" w:cs="Calibri"/>
          <w:color w:val="1C2024"/>
          <w:sz w:val="22"/>
          <w:szCs w:val="22"/>
        </w:rPr>
      </w:pPr>
      <w:r>
        <w:rPr>
          <w:rFonts w:ascii="Calibri" w:hAnsi="Calibri" w:cs="Calibri"/>
          <w:color w:val="1C2024"/>
          <w:sz w:val="22"/>
          <w:szCs w:val="22"/>
        </w:rPr>
        <w:t xml:space="preserve">Nota ANCE </w:t>
      </w:r>
    </w:p>
    <w:p w14:paraId="291EDE81" w14:textId="409F18DA" w:rsidR="00994DE8" w:rsidRDefault="00994DE8" w:rsidP="000C3E8E">
      <w:pPr>
        <w:jc w:val="both"/>
        <w:rPr>
          <w:rFonts w:ascii="Calibri" w:hAnsi="Calibri" w:cs="Calibri Light"/>
          <w:sz w:val="22"/>
          <w:szCs w:val="22"/>
        </w:rPr>
      </w:pPr>
    </w:p>
    <w:p w14:paraId="50CEDAB9" w14:textId="77777777" w:rsidR="00D40912" w:rsidRPr="00D40912" w:rsidRDefault="00D40912" w:rsidP="00D40912">
      <w:pPr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Approvato dalla Camera in prima lettura, mediante voto di fiducia, il DDL di conversione del DL 34/2020 (cd. </w:t>
      </w:r>
      <w:r w:rsidRPr="00D40912">
        <w:rPr>
          <w:rFonts w:ascii="Calibri" w:hAnsi="Calibri" w:cs="Calibri Light"/>
          <w:i/>
          <w:iCs/>
          <w:sz w:val="22"/>
          <w:szCs w:val="22"/>
        </w:rPr>
        <w:t>Decreto Rilancio</w:t>
      </w:r>
      <w:r w:rsidRPr="00D40912">
        <w:rPr>
          <w:rFonts w:ascii="Calibri" w:hAnsi="Calibri" w:cs="Calibri Light"/>
          <w:sz w:val="22"/>
          <w:szCs w:val="22"/>
        </w:rPr>
        <w:t xml:space="preserve">), che, oltre ad ulteriori modifiche, riscrive le disposizioni relative alle detrazioni potenziate al 110% - cd. </w:t>
      </w:r>
      <w:r w:rsidRPr="00D40912">
        <w:rPr>
          <w:rFonts w:ascii="Calibri" w:hAnsi="Calibri" w:cs="Calibri Light"/>
          <w:i/>
          <w:iCs/>
          <w:sz w:val="22"/>
          <w:szCs w:val="22"/>
        </w:rPr>
        <w:t>Superbonus</w:t>
      </w:r>
      <w:r w:rsidRPr="00D40912">
        <w:rPr>
          <w:rFonts w:ascii="Calibri" w:hAnsi="Calibri" w:cs="Calibri Light"/>
          <w:sz w:val="22"/>
          <w:szCs w:val="22"/>
        </w:rPr>
        <w:t xml:space="preserve">, per i lavori edili e interviene sulle regole della cessione e dello sconto in fattura. Tra le novità d’interesse per il settore delle costruzioni, l’estensione dell’ambito applicativo dell’ </w:t>
      </w:r>
      <w:r w:rsidRPr="00D40912">
        <w:rPr>
          <w:rFonts w:ascii="Calibri" w:hAnsi="Calibri" w:cs="Calibri Light"/>
          <w:i/>
          <w:iCs/>
          <w:sz w:val="22"/>
          <w:szCs w:val="22"/>
        </w:rPr>
        <w:t xml:space="preserve">Ecobonus </w:t>
      </w:r>
      <w:r w:rsidRPr="00D40912">
        <w:rPr>
          <w:rFonts w:ascii="Calibri" w:hAnsi="Calibri" w:cs="Calibri Light"/>
          <w:sz w:val="22"/>
          <w:szCs w:val="22"/>
        </w:rPr>
        <w:t xml:space="preserve">maggiorato anche per gli interventi di demolizione e ricostruzione, definiti come ristrutturazione edilizia, la possibilità di esercitare l’opzione per la cessione o per lo sconto da </w:t>
      </w:r>
      <w:r w:rsidRPr="00D40912">
        <w:rPr>
          <w:rFonts w:ascii="Calibri" w:hAnsi="Calibri" w:cs="Calibri Light"/>
          <w:i/>
          <w:iCs/>
          <w:sz w:val="22"/>
          <w:szCs w:val="22"/>
        </w:rPr>
        <w:t xml:space="preserve">Superbonus </w:t>
      </w:r>
      <w:r w:rsidRPr="00D40912">
        <w:rPr>
          <w:rFonts w:ascii="Calibri" w:hAnsi="Calibri" w:cs="Calibri Light"/>
          <w:sz w:val="22"/>
          <w:szCs w:val="22"/>
        </w:rPr>
        <w:t xml:space="preserve">ad ogni stato avanzamento lavori (SAL) e in relazione alla singola fattura emessa, e la precisazione che al fornitore che opera lo sconto spetta l’intera detrazione riconosciuta al beneficiario. </w:t>
      </w:r>
    </w:p>
    <w:p w14:paraId="2AA9CBCB" w14:textId="44F9D407" w:rsidR="00D40912" w:rsidRPr="00D40912" w:rsidRDefault="00D40912" w:rsidP="00D40912">
      <w:pPr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Il Provvedimento passa ora al Senato (DDL 1874/S) per la seconda lettura, in vista dell’approvazione definitiva e della successiva pubblicazione in </w:t>
      </w:r>
      <w:r w:rsidRPr="00D40912">
        <w:rPr>
          <w:rFonts w:ascii="Calibri" w:hAnsi="Calibri" w:cs="Calibri Light"/>
          <w:i/>
          <w:iCs/>
          <w:sz w:val="22"/>
          <w:szCs w:val="22"/>
        </w:rPr>
        <w:t>Gazzetta Ufficiale</w:t>
      </w:r>
      <w:r w:rsidRPr="00D40912">
        <w:rPr>
          <w:rFonts w:ascii="Calibri" w:hAnsi="Calibri" w:cs="Calibri Light"/>
          <w:sz w:val="22"/>
          <w:szCs w:val="22"/>
        </w:rPr>
        <w:t xml:space="preserve">, attesa per il prossimo 18 luglio 2020. Con il passaggio alla Camera sono, dunque, stati emendati gli articoli 119 e 121, e sono state introdotte alcune importanti novità rispetto al testo di partenza del </w:t>
      </w:r>
      <w:r w:rsidR="00680DA5">
        <w:rPr>
          <w:rFonts w:ascii="Calibri" w:hAnsi="Calibri" w:cs="Calibri Light"/>
          <w:sz w:val="22"/>
          <w:szCs w:val="22"/>
        </w:rPr>
        <w:t>D</w:t>
      </w:r>
      <w:bookmarkStart w:id="0" w:name="_GoBack"/>
      <w:bookmarkEnd w:id="0"/>
      <w:r w:rsidRPr="00D40912">
        <w:rPr>
          <w:rFonts w:ascii="Calibri" w:hAnsi="Calibri" w:cs="Calibri Light"/>
          <w:sz w:val="22"/>
          <w:szCs w:val="22"/>
        </w:rPr>
        <w:t xml:space="preserve">ecreto legge 34/2020. </w:t>
      </w:r>
    </w:p>
    <w:p w14:paraId="4EFBE364" w14:textId="77777777" w:rsidR="00D40912" w:rsidRPr="00D40912" w:rsidRDefault="00D40912" w:rsidP="00D40912">
      <w:pPr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Di seguito si riportano le principali novità in materia di agevolazioni potenziate per i lavori edili (cd. </w:t>
      </w:r>
      <w:r w:rsidRPr="00D40912">
        <w:rPr>
          <w:rFonts w:ascii="Calibri" w:hAnsi="Calibri" w:cs="Calibri Light"/>
          <w:i/>
          <w:iCs/>
          <w:sz w:val="22"/>
          <w:szCs w:val="22"/>
        </w:rPr>
        <w:t xml:space="preserve">Superbonus </w:t>
      </w:r>
      <w:r w:rsidRPr="00D40912">
        <w:rPr>
          <w:rFonts w:ascii="Calibri" w:hAnsi="Calibri" w:cs="Calibri Light"/>
          <w:sz w:val="22"/>
          <w:szCs w:val="22"/>
        </w:rPr>
        <w:t>al 110%).</w:t>
      </w:r>
    </w:p>
    <w:p w14:paraId="304F5975" w14:textId="58F3A2AB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b/>
          <w:bCs/>
          <w:sz w:val="22"/>
          <w:szCs w:val="22"/>
        </w:rPr>
      </w:pPr>
      <w:r w:rsidRPr="00D40912">
        <w:rPr>
          <w:rFonts w:ascii="Calibri" w:hAnsi="Calibri" w:cs="Calibri Light"/>
          <w:b/>
          <w:bCs/>
          <w:sz w:val="22"/>
          <w:szCs w:val="22"/>
        </w:rPr>
        <w:t>Principali modifiche apportate all’art. 1</w:t>
      </w:r>
      <w:r w:rsidR="00680DA5">
        <w:rPr>
          <w:rFonts w:ascii="Calibri" w:hAnsi="Calibri" w:cs="Calibri Light"/>
          <w:b/>
          <w:bCs/>
          <w:sz w:val="22"/>
          <w:szCs w:val="22"/>
        </w:rPr>
        <w:t>19</w:t>
      </w:r>
    </w:p>
    <w:p w14:paraId="6F27A715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  <w:u w:val="single"/>
        </w:rPr>
      </w:pPr>
      <w:r w:rsidRPr="00D40912">
        <w:rPr>
          <w:rFonts w:ascii="Calibri" w:hAnsi="Calibri" w:cs="Calibri Light"/>
          <w:i/>
          <w:iCs/>
          <w:sz w:val="22"/>
          <w:szCs w:val="22"/>
          <w:u w:val="single"/>
        </w:rPr>
        <w:t>Ecobonus potenziato</w:t>
      </w:r>
    </w:p>
    <w:p w14:paraId="5F41B8B4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>•Sono stati rimodulati i limiti massimi di spesa per gli interventi agevolati con l’</w:t>
      </w:r>
      <w:r w:rsidRPr="00D40912">
        <w:rPr>
          <w:rFonts w:ascii="Calibri" w:hAnsi="Calibri" w:cs="Calibri Light"/>
          <w:i/>
          <w:iCs/>
          <w:sz w:val="22"/>
          <w:szCs w:val="22"/>
        </w:rPr>
        <w:t xml:space="preserve">Ecobonus </w:t>
      </w:r>
      <w:r w:rsidRPr="00D40912">
        <w:rPr>
          <w:rFonts w:ascii="Calibri" w:hAnsi="Calibri" w:cs="Calibri Light"/>
          <w:sz w:val="22"/>
          <w:szCs w:val="22"/>
        </w:rPr>
        <w:t xml:space="preserve">al 110%, prevedendone una differenziazione in funzione del numero delle unità che compongono l’edificio condominiale e dettagliando anche l’ipotesi di interventi effettuati su edifici unifamiliari o unità immobiliari situate all’interno di edifici plurifamiliari funzionalmente indipendenti e con accessi autonomi dall’esterno (cd. villette a schiera). In linea generale, i massimali si riducono all’aumentare del numero delle unità che compongono il fabbricato e, per ciascun intervento, quello più elevato viene comunque ridotto rispetto a quanto previsto attualmente dall’art.119 (per l’isolamento termico, il massimo passa da 60.000 per unità a 50.000 e, per gli impianti, da 30.000 per unità a 20.000 per unità); </w:t>
      </w:r>
    </w:p>
    <w:p w14:paraId="7757B6C4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•gli interventi potenziati sono stati estesi a ulteriori impianti di riscaldamento e/o produzione di acqua calda; </w:t>
      </w:r>
    </w:p>
    <w:p w14:paraId="7B0B7430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>•viene precisato che se l’edificio è sottoposto ad almeno uno dei vincoli del «Codice dei beni culturali e del paesaggio», o gli interventi «potenziati» siano vietati da regolamenti edilizi, urbanistici e ambientali, la detrazione potenziata da Ecobonus si applica a tutti gli interventi di risparmio energetico «trainati» anche in assenza degli interventi «trainanti»;</w:t>
      </w:r>
    </w:p>
    <w:p w14:paraId="0175405D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•viene chiarito che accedono alla detrazione potenziata anche gli interventi di demolizione e ricostruzione, definiti come ristrutturazione edilizia (art.3, co1, lett.d, DPR 380/2001). Sono quindi consentiti gli interventi di demolizione e ricostruzione con la stessa volumetria preesistente, fatte salve le sole innovazioni necessarie per l'adeguamento alla normativa antisismica e quelli volti al </w:t>
      </w:r>
      <w:r w:rsidRPr="00D40912">
        <w:rPr>
          <w:rFonts w:ascii="Calibri" w:hAnsi="Calibri" w:cs="Calibri Light"/>
          <w:sz w:val="22"/>
          <w:szCs w:val="22"/>
        </w:rPr>
        <w:lastRenderedPageBreak/>
        <w:t xml:space="preserve">ripristino di edifici, o parti di essi, eventualmente crollati o demoliti, attraverso la loro ricostruzione, purché sia possibile accertarne la preesistente consistenza. </w:t>
      </w:r>
    </w:p>
    <w:p w14:paraId="0A32EB0F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•solo per gli IACP (comunque denominati, nonché gli enti aventi le stesse finalità sociali dei predetti Istituti) la detrazione potenziata è stata estesa temporalmente al 30 giugno 2022; </w:t>
      </w:r>
    </w:p>
    <w:p w14:paraId="5E704590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i/>
          <w:iCs/>
          <w:sz w:val="22"/>
          <w:szCs w:val="22"/>
          <w:u w:val="single"/>
        </w:rPr>
      </w:pPr>
      <w:r w:rsidRPr="00D40912">
        <w:rPr>
          <w:rFonts w:ascii="Calibri" w:hAnsi="Calibri" w:cs="Calibri Light"/>
          <w:i/>
          <w:iCs/>
          <w:sz w:val="22"/>
          <w:szCs w:val="22"/>
          <w:u w:val="single"/>
        </w:rPr>
        <w:t>Fotovoltaico potenziato</w:t>
      </w:r>
    </w:p>
    <w:p w14:paraId="1429839D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•Viene esteso il </w:t>
      </w:r>
      <w:r w:rsidRPr="00D40912">
        <w:rPr>
          <w:rFonts w:ascii="Calibri" w:hAnsi="Calibri" w:cs="Calibri Light"/>
          <w:i/>
          <w:iCs/>
          <w:sz w:val="22"/>
          <w:szCs w:val="22"/>
        </w:rPr>
        <w:t xml:space="preserve">Superbonus </w:t>
      </w:r>
      <w:r w:rsidRPr="00D40912">
        <w:rPr>
          <w:rFonts w:ascii="Calibri" w:hAnsi="Calibri" w:cs="Calibri Light"/>
          <w:sz w:val="22"/>
          <w:szCs w:val="22"/>
        </w:rPr>
        <w:t xml:space="preserve">per il fotovoltaico anche alla quota di spesa corrispondente alla potenza massima di 20 kW, riferita all'installazione degli impianti fino a 200 kW, da parte di comunità energetiche rinnovabili costituite in forma di enti non commerciali o da parte di condomìni, in presenza di requisiti specifici; </w:t>
      </w:r>
    </w:p>
    <w:p w14:paraId="17AAD52F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i/>
          <w:iCs/>
          <w:sz w:val="22"/>
          <w:szCs w:val="22"/>
          <w:u w:val="single"/>
        </w:rPr>
      </w:pPr>
      <w:r w:rsidRPr="00D40912">
        <w:rPr>
          <w:rFonts w:ascii="Calibri" w:hAnsi="Calibri" w:cs="Calibri Light"/>
          <w:i/>
          <w:iCs/>
          <w:sz w:val="22"/>
          <w:szCs w:val="22"/>
          <w:u w:val="single"/>
        </w:rPr>
        <w:t>Sismabonus potenziato</w:t>
      </w:r>
    </w:p>
    <w:p w14:paraId="0FC139EE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i/>
          <w:iCs/>
          <w:sz w:val="22"/>
          <w:szCs w:val="22"/>
        </w:rPr>
        <w:t xml:space="preserve">•La detrazione al 110% è stata estesa anche alla realizzazione di sistemi di monitoraggio continui dell’edificio, a condizione che sia eseguita congiuntamente al Sismabonus e nel rispetto dei limiti di spesa previsti (96.000 euro); </w:t>
      </w:r>
    </w:p>
    <w:p w14:paraId="02D80860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i/>
          <w:iCs/>
          <w:sz w:val="22"/>
          <w:szCs w:val="22"/>
          <w:u w:val="single"/>
        </w:rPr>
      </w:pPr>
      <w:r w:rsidRPr="00D40912">
        <w:rPr>
          <w:rFonts w:ascii="Calibri" w:hAnsi="Calibri" w:cs="Calibri Light"/>
          <w:i/>
          <w:iCs/>
          <w:sz w:val="22"/>
          <w:szCs w:val="22"/>
          <w:u w:val="single"/>
        </w:rPr>
        <w:t>Beneficiari e immobili</w:t>
      </w:r>
    </w:p>
    <w:p w14:paraId="34C60518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>•</w:t>
      </w:r>
      <w:r w:rsidRPr="00D40912">
        <w:rPr>
          <w:rFonts w:ascii="Calibri" w:hAnsi="Calibri" w:cs="Calibri Light"/>
          <w:i/>
          <w:iCs/>
          <w:sz w:val="22"/>
          <w:szCs w:val="22"/>
        </w:rPr>
        <w:t xml:space="preserve">Tra i beneficiari vengono incluse le ONLUS e le società sportive dilettantistiche, limitatamente ai lavori destinati ai soli immobili o parti di immobili adibiti a spogliatoi, con esclusione degli immobili di impresa; </w:t>
      </w:r>
    </w:p>
    <w:p w14:paraId="2BBE48BB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>•per le persone fisiche viene eliminata la destinazione ad abitazione principale delle unifamiliari, ma viene introdotto il vincolo di accesso all’</w:t>
      </w:r>
      <w:r w:rsidRPr="00D40912">
        <w:rPr>
          <w:rFonts w:ascii="Calibri" w:hAnsi="Calibri" w:cs="Calibri Light"/>
          <w:i/>
          <w:iCs/>
          <w:sz w:val="22"/>
          <w:szCs w:val="22"/>
        </w:rPr>
        <w:t xml:space="preserve">Ecobonus </w:t>
      </w:r>
      <w:r w:rsidRPr="00D40912">
        <w:rPr>
          <w:rFonts w:ascii="Calibri" w:hAnsi="Calibri" w:cs="Calibri Light"/>
          <w:sz w:val="22"/>
          <w:szCs w:val="22"/>
        </w:rPr>
        <w:t xml:space="preserve">potenziato (non anche al </w:t>
      </w:r>
      <w:r w:rsidRPr="00D40912">
        <w:rPr>
          <w:rFonts w:ascii="Calibri" w:hAnsi="Calibri" w:cs="Calibri Light"/>
          <w:i/>
          <w:iCs/>
          <w:sz w:val="22"/>
          <w:szCs w:val="22"/>
        </w:rPr>
        <w:t>Sismabonus</w:t>
      </w:r>
      <w:r w:rsidRPr="00D40912">
        <w:rPr>
          <w:rFonts w:ascii="Calibri" w:hAnsi="Calibri" w:cs="Calibri Light"/>
          <w:sz w:val="22"/>
          <w:szCs w:val="22"/>
        </w:rPr>
        <w:t xml:space="preserve">) per sole 2 unità immobiliari, fermo restando gli interventi effettuati su parti comuni; </w:t>
      </w:r>
    </w:p>
    <w:p w14:paraId="3DF904B3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•vengono esclusi da tutti i bonus maggiorati le unità immobiliari accatastate in una delle categorie A1, A8 e A9 (cd. </w:t>
      </w:r>
      <w:r w:rsidRPr="00D40912">
        <w:rPr>
          <w:rFonts w:ascii="Calibri" w:hAnsi="Calibri" w:cs="Calibri Light"/>
          <w:i/>
          <w:iCs/>
          <w:sz w:val="22"/>
          <w:szCs w:val="22"/>
        </w:rPr>
        <w:t>Abitazioni di lusso</w:t>
      </w:r>
      <w:r w:rsidRPr="00D40912">
        <w:rPr>
          <w:rFonts w:ascii="Calibri" w:hAnsi="Calibri" w:cs="Calibri Light"/>
          <w:sz w:val="22"/>
          <w:szCs w:val="22"/>
        </w:rPr>
        <w:t xml:space="preserve">). </w:t>
      </w:r>
    </w:p>
    <w:p w14:paraId="15362DE8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i/>
          <w:iCs/>
          <w:sz w:val="22"/>
          <w:szCs w:val="22"/>
          <w:u w:val="single"/>
        </w:rPr>
      </w:pPr>
      <w:r w:rsidRPr="00D40912">
        <w:rPr>
          <w:rFonts w:ascii="Calibri" w:hAnsi="Calibri" w:cs="Calibri Light"/>
          <w:i/>
          <w:iCs/>
          <w:sz w:val="22"/>
          <w:szCs w:val="22"/>
          <w:u w:val="single"/>
        </w:rPr>
        <w:t>Cessione/sconto</w:t>
      </w:r>
    </w:p>
    <w:p w14:paraId="5A8BDFD1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b/>
          <w:bCs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•Viene previsto che l’opzione per la cessione o per lo sconto può essere presentata anche tramite i soggetti che rilasciano il visto di conformità; </w:t>
      </w:r>
    </w:p>
    <w:p w14:paraId="43163A27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•ai fini delle cessione/sconto del Sismabonus al 110%, viene previsto che i soggetti che rilasciano il visto di conformità verificano la presenza delle asseverazioni e delle attestazioni rilasciate dai professionisti incaricati; </w:t>
      </w:r>
    </w:p>
    <w:p w14:paraId="46C1D338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•sia per l’Ecobonus che per il Sismabonus, viene previsto che l’asseverazione sul rispetto dei requisiti tecnici e della congruità delle spese può essere rilasciata al termine dei lavori oppure per singolo SAL; </w:t>
      </w:r>
    </w:p>
    <w:p w14:paraId="14D0D826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>•per l’attestazione della congruità delle spese, si rinvia al DM che doveva essere emanato ai sensi dell’art.14, co.3</w:t>
      </w:r>
      <w:r w:rsidRPr="00D40912">
        <w:rPr>
          <w:rFonts w:ascii="Calibri" w:hAnsi="Calibri" w:cs="Calibri Light"/>
          <w:i/>
          <w:iCs/>
          <w:sz w:val="22"/>
          <w:szCs w:val="22"/>
        </w:rPr>
        <w:t>ter</w:t>
      </w:r>
      <w:r w:rsidRPr="00D40912">
        <w:rPr>
          <w:rFonts w:ascii="Calibri" w:hAnsi="Calibri" w:cs="Calibri Light"/>
          <w:sz w:val="22"/>
          <w:szCs w:val="22"/>
        </w:rPr>
        <w:t xml:space="preserve">, del DL 63/2013 (mai emanato) e, nelle more di questo, si fa riferimento ai prezzari regionali, ai listini ufficiali o di quelli locali delle camere di commercio, o ai prezzi di mercato in base al luogo di realizzazione degli interventi. </w:t>
      </w:r>
    </w:p>
    <w:p w14:paraId="2B00E440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b/>
          <w:bCs/>
          <w:sz w:val="22"/>
          <w:szCs w:val="22"/>
        </w:rPr>
      </w:pPr>
      <w:r w:rsidRPr="00D40912">
        <w:rPr>
          <w:rFonts w:ascii="Calibri" w:hAnsi="Calibri" w:cs="Calibri Light"/>
          <w:b/>
          <w:bCs/>
          <w:sz w:val="22"/>
          <w:szCs w:val="22"/>
        </w:rPr>
        <w:t>Principali modifiche apportate all’art. 121</w:t>
      </w:r>
    </w:p>
    <w:p w14:paraId="5C4138CD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•Viene precisato che il credito di imposta spettante al fornitore che opera lo sconto è pari alla detrazione originariamente spettante al beneficiario indipendentemente dal livello dello sconto </w:t>
      </w:r>
      <w:r w:rsidRPr="00D40912">
        <w:rPr>
          <w:rFonts w:ascii="Calibri" w:hAnsi="Calibri" w:cs="Calibri Light"/>
          <w:sz w:val="22"/>
          <w:szCs w:val="22"/>
        </w:rPr>
        <w:lastRenderedPageBreak/>
        <w:t xml:space="preserve">applicato. Inoltre, lo sconto in fattura può essere operato anche da una pluralità di fornitori che abbiano concorso all’effettuazione degli interventi che danno titolo alla detrazione; </w:t>
      </w:r>
    </w:p>
    <w:p w14:paraId="4D2CEA3C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>•</w:t>
      </w:r>
      <w:r w:rsidRPr="00D40912">
        <w:rPr>
          <w:rFonts w:ascii="Calibri" w:hAnsi="Calibri" w:cs="Calibri Light"/>
          <w:i/>
          <w:iCs/>
          <w:sz w:val="22"/>
          <w:szCs w:val="22"/>
        </w:rPr>
        <w:t xml:space="preserve">viene precisato che la trasformazione della detrazione in credito di imposta opera solo nel caso della sua cessione ad altri soggetti; </w:t>
      </w:r>
    </w:p>
    <w:p w14:paraId="4F22F0DD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•con riferimento all’opzione per la cessione/sconto, viene prevista la possibilità di esercizio ad ogni stato avanzamento lavori in relazione alla singola fattura emessa. Tuttavia, per gli interventi di cui all’art. 119 (agevolati con i bonus potenziati), nel caso di opzione per la cessione o per lo sconto, gli stati di avanzamento dei lavori rilevanti non possono essere più di 2 per ciascun intervento e, in ogni caso, che ciascuno stato di avanzamento deve riferirsi ad almeno il 30% del medesimo intervento; </w:t>
      </w:r>
    </w:p>
    <w:p w14:paraId="0A7F2BCD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 xml:space="preserve">•con riferimento all’utilizzo dei crediti ceduti viene introdotta una deroga all’art.31, co. 1, del DL 78/2010, che reca un divieto di compensazione dei crediti relativi alle imposte erariali in presenza di debiti iscritti a ruolo di ammontare superiore a 1.500 euro. Viene confermato, inoltre, che, per la compensazione dei crediti non opera il limite dei 700.000 euro annui (innalzati a 1 milione di euro per il 2020) e che la quota di credito non utilizzata nell’anno non può essere riportata negli anni successivi e non può essere chiesta a rimborso; </w:t>
      </w:r>
    </w:p>
    <w:p w14:paraId="4BBFFEF6" w14:textId="77777777" w:rsidR="00D40912" w:rsidRPr="00D40912" w:rsidRDefault="00D40912" w:rsidP="00D40912">
      <w:pPr>
        <w:spacing w:before="100" w:beforeAutospacing="1" w:after="100" w:afterAutospacing="1"/>
        <w:rPr>
          <w:rFonts w:ascii="Calibri" w:hAnsi="Calibri" w:cs="Calibri Light"/>
          <w:sz w:val="22"/>
          <w:szCs w:val="22"/>
        </w:rPr>
      </w:pPr>
      <w:r w:rsidRPr="00D40912">
        <w:rPr>
          <w:rFonts w:ascii="Calibri" w:hAnsi="Calibri" w:cs="Calibri Light"/>
          <w:sz w:val="22"/>
          <w:szCs w:val="22"/>
        </w:rPr>
        <w:t>•con riferimento al provvedimento del Direttore dell’Agenzia delle Entrate contenente le disposizioni attuative dell’art.121 ne viene posticipata l’emanazione a 30 giorni dalla legge di conversione.</w:t>
      </w:r>
    </w:p>
    <w:p w14:paraId="3289359E" w14:textId="77777777" w:rsidR="00D40912" w:rsidRPr="00747106" w:rsidRDefault="00D40912" w:rsidP="000C3E8E">
      <w:pPr>
        <w:jc w:val="both"/>
        <w:rPr>
          <w:rFonts w:ascii="Calibri" w:hAnsi="Calibri" w:cs="Calibri Light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D4091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D40912">
        <w:rPr>
          <w:rFonts w:ascii="Calibri" w:hAnsi="Calibri" w:cs="Calibri"/>
          <w:sz w:val="22"/>
          <w:szCs w:val="22"/>
        </w:rPr>
        <w:t xml:space="preserve">Email: </w:t>
      </w:r>
      <w:hyperlink r:id="rId8" w:history="1">
        <w:r w:rsidRPr="00D40912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D40912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5E0D55BD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D40912">
        <w:rPr>
          <w:rFonts w:ascii="Calibri" w:hAnsi="Calibri" w:cs="Calibri"/>
          <w:sz w:val="22"/>
          <w:szCs w:val="22"/>
        </w:rPr>
        <w:t>1</w:t>
      </w:r>
      <w:r w:rsidR="00AA3206">
        <w:rPr>
          <w:rFonts w:ascii="Calibri" w:hAnsi="Calibri" w:cs="Calibri"/>
          <w:sz w:val="22"/>
          <w:szCs w:val="22"/>
        </w:rPr>
        <w:t>3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322729">
        <w:rPr>
          <w:rFonts w:ascii="Calibri" w:hAnsi="Calibri" w:cs="Calibri"/>
          <w:sz w:val="22"/>
          <w:szCs w:val="22"/>
        </w:rPr>
        <w:t>7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98334" w14:textId="77777777" w:rsidR="00C545BE" w:rsidRDefault="00C545BE">
      <w:r>
        <w:separator/>
      </w:r>
    </w:p>
  </w:endnote>
  <w:endnote w:type="continuationSeparator" w:id="0">
    <w:p w14:paraId="65C40D96" w14:textId="77777777" w:rsidR="00C545BE" w:rsidRDefault="00C5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136F7" w14:textId="77777777" w:rsidR="00C545BE" w:rsidRDefault="00C545BE">
      <w:r>
        <w:separator/>
      </w:r>
    </w:p>
  </w:footnote>
  <w:footnote w:type="continuationSeparator" w:id="0">
    <w:p w14:paraId="691CAD59" w14:textId="77777777" w:rsidR="00C545BE" w:rsidRDefault="00C5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C545B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2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47841"/>
    <w:multiLevelType w:val="hybridMultilevel"/>
    <w:tmpl w:val="27F8A43A"/>
    <w:lvl w:ilvl="0" w:tplc="B6E864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0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27"/>
  </w:num>
  <w:num w:numId="10">
    <w:abstractNumId w:val="21"/>
  </w:num>
  <w:num w:numId="11">
    <w:abstractNumId w:val="12"/>
  </w:num>
  <w:num w:numId="12">
    <w:abstractNumId w:val="20"/>
  </w:num>
  <w:num w:numId="13">
    <w:abstractNumId w:val="5"/>
  </w:num>
  <w:num w:numId="14">
    <w:abstractNumId w:val="9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23"/>
  </w:num>
  <w:num w:numId="20">
    <w:abstractNumId w:val="17"/>
  </w:num>
  <w:num w:numId="21">
    <w:abstractNumId w:val="7"/>
  </w:num>
  <w:num w:numId="22">
    <w:abstractNumId w:val="26"/>
  </w:num>
  <w:num w:numId="23">
    <w:abstractNumId w:val="13"/>
  </w:num>
  <w:num w:numId="24">
    <w:abstractNumId w:val="8"/>
  </w:num>
  <w:num w:numId="25">
    <w:abstractNumId w:val="4"/>
  </w:num>
  <w:num w:numId="26">
    <w:abstractNumId w:val="6"/>
  </w:num>
  <w:num w:numId="27">
    <w:abstractNumId w:val="25"/>
  </w:num>
  <w:num w:numId="28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C3E8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B18C8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36DC4"/>
    <w:rsid w:val="0034265F"/>
    <w:rsid w:val="00350EF3"/>
    <w:rsid w:val="00363BF8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0DA5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714"/>
    <w:rsid w:val="00C3700B"/>
    <w:rsid w:val="00C433AC"/>
    <w:rsid w:val="00C46AA6"/>
    <w:rsid w:val="00C545BE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0912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302</TotalTime>
  <Pages>3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8192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61</cp:revision>
  <cp:lastPrinted>2019-02-27T17:41:00Z</cp:lastPrinted>
  <dcterms:created xsi:type="dcterms:W3CDTF">2020-03-10T08:33:00Z</dcterms:created>
  <dcterms:modified xsi:type="dcterms:W3CDTF">2020-07-13T15:07:00Z</dcterms:modified>
</cp:coreProperties>
</file>