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7C974" w14:textId="3F50D8F0" w:rsidR="00FD4966" w:rsidRDefault="00BC253A" w:rsidP="00FD49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pict w14:anchorId="036903AB">
          <v:shape id="Segno di sottrazione 5" o:spid="_x0000_s1026" style="position:absolute;left:0;text-align:left;margin-left:-73.75pt;margin-top:-24pt;width:599.25pt;height:3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r w:rsidR="0011596E" w:rsidRPr="0011596E">
        <w:rPr>
          <w:rFonts w:ascii="Calibri" w:hAnsi="Calibri" w:cs="Calibri"/>
          <w:b/>
          <w:bCs/>
          <w:color w:val="000000"/>
          <w:sz w:val="22"/>
          <w:szCs w:val="22"/>
        </w:rPr>
        <w:t xml:space="preserve">Accordo Intesa Sanpaolo e Ance per </w:t>
      </w:r>
      <w:r w:rsidR="0011596E">
        <w:rPr>
          <w:rFonts w:ascii="Calibri" w:hAnsi="Calibri" w:cs="Calibri"/>
          <w:b/>
          <w:bCs/>
          <w:color w:val="000000"/>
          <w:sz w:val="22"/>
          <w:szCs w:val="22"/>
        </w:rPr>
        <w:t xml:space="preserve">il </w:t>
      </w:r>
      <w:r w:rsidR="0011596E" w:rsidRPr="0011596E">
        <w:rPr>
          <w:rFonts w:ascii="Calibri" w:hAnsi="Calibri" w:cs="Calibri"/>
          <w:b/>
          <w:bCs/>
          <w:color w:val="000000"/>
          <w:sz w:val="22"/>
          <w:szCs w:val="22"/>
        </w:rPr>
        <w:t>sostegno al settore delle costruzioni</w:t>
      </w:r>
    </w:p>
    <w:p w14:paraId="1B9F4A14" w14:textId="060DAEFD" w:rsidR="0011596E" w:rsidRDefault="0011596E" w:rsidP="00FD49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5FED2EF" w14:textId="4D8ABF1B" w:rsidR="0011596E" w:rsidRDefault="0011596E" w:rsidP="00FD496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11596E">
        <w:rPr>
          <w:rFonts w:ascii="Calibri" w:hAnsi="Calibri" w:cs="Calibri"/>
          <w:color w:val="000000"/>
          <w:sz w:val="22"/>
          <w:szCs w:val="22"/>
        </w:rPr>
        <w:t>Iniziativa per s</w:t>
      </w:r>
      <w:r>
        <w:rPr>
          <w:rFonts w:ascii="Calibri" w:hAnsi="Calibri" w:cs="Calibri"/>
          <w:color w:val="000000"/>
          <w:sz w:val="22"/>
          <w:szCs w:val="22"/>
        </w:rPr>
        <w:t>upportare</w:t>
      </w:r>
      <w:r w:rsidRPr="0011596E">
        <w:rPr>
          <w:rFonts w:ascii="Calibri" w:hAnsi="Calibri" w:cs="Calibri"/>
          <w:color w:val="000000"/>
          <w:sz w:val="22"/>
          <w:szCs w:val="22"/>
        </w:rPr>
        <w:t xml:space="preserve"> le imprese Ance e agevolare gli interventi con il Superbonus 110%</w:t>
      </w:r>
    </w:p>
    <w:p w14:paraId="5ED2554F" w14:textId="461FA41F" w:rsidR="0011596E" w:rsidRDefault="0011596E" w:rsidP="00FD496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7722870" w14:textId="77777777" w:rsidR="0011596E" w:rsidRPr="00BC253A" w:rsidRDefault="0011596E" w:rsidP="0011596E">
      <w:pPr>
        <w:rPr>
          <w:rFonts w:ascii="Calibri" w:hAnsi="Calibri" w:cs="Calibri"/>
          <w:sz w:val="22"/>
          <w:szCs w:val="22"/>
        </w:rPr>
      </w:pPr>
      <w:r w:rsidRPr="00BC253A">
        <w:rPr>
          <w:rFonts w:ascii="Calibri" w:hAnsi="Calibri" w:cs="Calibri"/>
          <w:sz w:val="22"/>
          <w:szCs w:val="22"/>
        </w:rPr>
        <w:t xml:space="preserve">Nell’ambito delle misure straordinarie già avviate dalla Banca in questi mesi a sostegno dell’economia, delle imprese e delle famiglie italiane, anche grazie alle misure varate dal Governo, Intesa Sanpaolo metterà a disposizione degli associati dell’ANCE innovative </w:t>
      </w:r>
      <w:r w:rsidRPr="00BC253A">
        <w:rPr>
          <w:rFonts w:ascii="Calibri" w:hAnsi="Calibri" w:cs="Calibri"/>
          <w:b/>
          <w:bCs/>
          <w:sz w:val="22"/>
          <w:szCs w:val="22"/>
        </w:rPr>
        <w:t>soluzioni di finanziamento</w:t>
      </w:r>
      <w:r w:rsidRPr="00BC253A">
        <w:rPr>
          <w:rFonts w:ascii="Calibri" w:hAnsi="Calibri" w:cs="Calibri"/>
          <w:sz w:val="22"/>
          <w:szCs w:val="22"/>
        </w:rPr>
        <w:t xml:space="preserve"> per rispondere al rilancio del comparto e massimizzare al contempo l’efficacia degli incentivi governativi previsti dal Superbonus 110%.</w:t>
      </w:r>
    </w:p>
    <w:p w14:paraId="1185FC26" w14:textId="77777777" w:rsidR="0011596E" w:rsidRPr="00BC253A" w:rsidRDefault="0011596E" w:rsidP="0011596E">
      <w:pPr>
        <w:rPr>
          <w:rFonts w:ascii="Calibri" w:hAnsi="Calibri" w:cs="Calibri"/>
          <w:sz w:val="22"/>
          <w:szCs w:val="22"/>
        </w:rPr>
      </w:pPr>
      <w:r w:rsidRPr="00BC253A">
        <w:rPr>
          <w:rFonts w:ascii="Calibri" w:hAnsi="Calibri" w:cs="Calibri"/>
          <w:sz w:val="22"/>
          <w:szCs w:val="22"/>
        </w:rPr>
        <w:t xml:space="preserve">Intesa Sanpaolo e l’Associazione Nazionale Costruttori Edili hanno condiviso l’importanza e la necessità di attivare un pacchetto di soluzioni dedicato alle aziende del settore, in coerenza con quanto previsto dal </w:t>
      </w:r>
      <w:proofErr w:type="gramStart"/>
      <w:r w:rsidRPr="00BC253A">
        <w:rPr>
          <w:rFonts w:ascii="Calibri" w:hAnsi="Calibri" w:cs="Calibri"/>
          <w:sz w:val="22"/>
          <w:szCs w:val="22"/>
        </w:rPr>
        <w:t>Decreto Legge</w:t>
      </w:r>
      <w:proofErr w:type="gramEnd"/>
      <w:r w:rsidRPr="00BC253A">
        <w:rPr>
          <w:rFonts w:ascii="Calibri" w:hAnsi="Calibri" w:cs="Calibri"/>
          <w:sz w:val="22"/>
          <w:szCs w:val="22"/>
        </w:rPr>
        <w:t xml:space="preserve"> “Rilancio” e, in particolare, attraverso il meccanismo dell’Eco Bonus e del Sisma Bonus, con agevolazione convertibile in credito d’imposta al 110% cedibile (“Superbonus 110%) anche a banche e istituzioni finanziarie. Un’opportunità di rilancio del comparto edile stimata in circa 14 miliardi di euro di crediti fiscali, con il contemporaneo sostegno e la creazione di migliaia di posti di lavoro.</w:t>
      </w:r>
    </w:p>
    <w:p w14:paraId="5C26FEC4" w14:textId="77777777" w:rsidR="0011596E" w:rsidRPr="00BC253A" w:rsidRDefault="0011596E" w:rsidP="0011596E">
      <w:pPr>
        <w:rPr>
          <w:rFonts w:ascii="Calibri" w:hAnsi="Calibri" w:cs="Calibri"/>
          <w:sz w:val="22"/>
          <w:szCs w:val="22"/>
        </w:rPr>
      </w:pPr>
      <w:r w:rsidRPr="00BC253A">
        <w:rPr>
          <w:rFonts w:ascii="Calibri" w:hAnsi="Calibri" w:cs="Calibri"/>
          <w:sz w:val="22"/>
          <w:szCs w:val="22"/>
        </w:rPr>
        <w:br/>
        <w:t>Intesa Sanpaolo, nella consapevolezza della necessità di contribuire alla ripartenza del settore e al fine di massimizzare l’efficacia degli incentivi pubblici, metterà a disposizione delle imprese appartenenti al sistema ANCE delle soluzioni di finanziamento per rispondere ad un duplice bisogno: sostenere le aziende nella fase di esecuzione dei lavori e rendere liquidi i crediti di imposta acquisiti tramite lo sconto in fattura, immettendo così liquidità nel sistema e riducendo l’esposizione debitoria delle imprese della filiera.</w:t>
      </w:r>
    </w:p>
    <w:p w14:paraId="5F08918C" w14:textId="77777777" w:rsidR="0011596E" w:rsidRPr="00BC253A" w:rsidRDefault="0011596E" w:rsidP="0011596E">
      <w:pPr>
        <w:rPr>
          <w:rFonts w:ascii="Calibri" w:hAnsi="Calibri" w:cs="Calibri"/>
          <w:sz w:val="22"/>
          <w:szCs w:val="22"/>
        </w:rPr>
      </w:pPr>
      <w:r w:rsidRPr="00BC253A">
        <w:rPr>
          <w:rFonts w:ascii="Calibri" w:hAnsi="Calibri" w:cs="Calibri"/>
          <w:sz w:val="22"/>
          <w:szCs w:val="22"/>
        </w:rPr>
        <w:br/>
        <w:t>In particolare, una volta completato il quadro normativo di riferimento, Intesa Sanpaolo metterà a disposizione una soluzione finanziaria integrata e modulare che prevede:</w:t>
      </w:r>
      <w:r w:rsidRPr="00BC253A">
        <w:rPr>
          <w:rFonts w:ascii="Calibri" w:hAnsi="Calibri" w:cs="Calibri"/>
          <w:sz w:val="22"/>
          <w:szCs w:val="22"/>
        </w:rPr>
        <w:br/>
        <w:t>•    finanziamenti nella forma di “anticipo contratti” finalizzati ad accompagnare le imprese nella gestione degli appalti e nell’esecuzione dei lavori, anche con il sostegno del Fondo Centrale di Garanzia;</w:t>
      </w:r>
      <w:r w:rsidRPr="00BC253A">
        <w:rPr>
          <w:rFonts w:ascii="Calibri" w:hAnsi="Calibri" w:cs="Calibri"/>
          <w:sz w:val="22"/>
          <w:szCs w:val="22"/>
        </w:rPr>
        <w:br/>
        <w:t xml:space="preserve">•    l’acquisto dei crediti d’imposta afferenti agli interventi di riqualificazione del patrimonio edilizio e liquidazione degli stessi con la formula della cessione pro soluto, in modo da renderli smobilizzabili riducendo al contempo l’esposizione finanziaria. Questa soluzione comprende tutti i crediti fiscali afferenti </w:t>
      </w:r>
      <w:proofErr w:type="gramStart"/>
      <w:r w:rsidRPr="00BC253A">
        <w:rPr>
          <w:rFonts w:ascii="Calibri" w:hAnsi="Calibri" w:cs="Calibri"/>
          <w:sz w:val="22"/>
          <w:szCs w:val="22"/>
        </w:rPr>
        <w:t>il</w:t>
      </w:r>
      <w:proofErr w:type="gramEnd"/>
      <w:r w:rsidRPr="00BC253A">
        <w:rPr>
          <w:rFonts w:ascii="Calibri" w:hAnsi="Calibri" w:cs="Calibri"/>
          <w:sz w:val="22"/>
          <w:szCs w:val="22"/>
        </w:rPr>
        <w:t xml:space="preserve"> sistema Casa;</w:t>
      </w:r>
      <w:r w:rsidRPr="00BC253A">
        <w:rPr>
          <w:rFonts w:ascii="Calibri" w:hAnsi="Calibri" w:cs="Calibri"/>
          <w:sz w:val="22"/>
          <w:szCs w:val="22"/>
        </w:rPr>
        <w:br/>
        <w:t>•    un servizio di assistenza per le imprese – per il tramite di un primario partner – mediante l’utilizzo di una piattaforma dedicata per la gestione dei passaggi amministrativi e delle certificazioni necessarie in ordine alla gestione fiscale dei crediti di imposta.</w:t>
      </w:r>
    </w:p>
    <w:p w14:paraId="66C49AB9" w14:textId="77777777" w:rsidR="0011596E" w:rsidRPr="00BC253A" w:rsidRDefault="0011596E" w:rsidP="0011596E">
      <w:pPr>
        <w:rPr>
          <w:rFonts w:ascii="Calibri" w:hAnsi="Calibri" w:cs="Calibri"/>
          <w:sz w:val="22"/>
          <w:szCs w:val="22"/>
        </w:rPr>
      </w:pPr>
      <w:r w:rsidRPr="00BC253A">
        <w:rPr>
          <w:rFonts w:ascii="Calibri" w:hAnsi="Calibri" w:cs="Calibri"/>
          <w:sz w:val="22"/>
          <w:szCs w:val="22"/>
        </w:rPr>
        <w:br/>
        <w:t>In aggiunta, per agevolare gli investimenti in beni strumentali funzionali agli interventi di efficientamento energetico e messa in sicurezza antisismica degli edifici, Intesa Sanpaolo metterà a disposizione le seguenti soluzioni, abbinabili alle misure del Decreto Liquidità:</w:t>
      </w:r>
      <w:r w:rsidRPr="00BC253A">
        <w:rPr>
          <w:rFonts w:ascii="Calibri" w:hAnsi="Calibri" w:cs="Calibri"/>
          <w:sz w:val="22"/>
          <w:szCs w:val="22"/>
        </w:rPr>
        <w:br/>
        <w:t>•    un finanziamento a medio-lungo termine con una durata fino a 72 mesi e preammortamento sino a 36 mesi;</w:t>
      </w:r>
      <w:r w:rsidRPr="00BC253A">
        <w:rPr>
          <w:rFonts w:ascii="Calibri" w:hAnsi="Calibri" w:cs="Calibri"/>
          <w:sz w:val="22"/>
          <w:szCs w:val="22"/>
        </w:rPr>
        <w:br/>
        <w:t xml:space="preserve">•    prodotti di leasing e di reverse factoring o </w:t>
      </w:r>
      <w:proofErr w:type="spellStart"/>
      <w:r w:rsidRPr="00BC253A">
        <w:rPr>
          <w:rFonts w:ascii="Calibri" w:hAnsi="Calibri" w:cs="Calibri"/>
          <w:sz w:val="22"/>
          <w:szCs w:val="22"/>
        </w:rPr>
        <w:t>confirming</w:t>
      </w:r>
      <w:proofErr w:type="spellEnd"/>
      <w:r w:rsidRPr="00BC253A">
        <w:rPr>
          <w:rFonts w:ascii="Calibri" w:hAnsi="Calibri" w:cs="Calibri"/>
          <w:sz w:val="22"/>
          <w:szCs w:val="22"/>
        </w:rPr>
        <w:t xml:space="preserve"> per il sostegno ai fornitori.</w:t>
      </w:r>
    </w:p>
    <w:p w14:paraId="1F709682" w14:textId="77777777" w:rsidR="0011596E" w:rsidRPr="00BC253A" w:rsidRDefault="0011596E" w:rsidP="0011596E">
      <w:pPr>
        <w:rPr>
          <w:rFonts w:ascii="Calibri" w:hAnsi="Calibri" w:cs="Calibri"/>
          <w:sz w:val="22"/>
          <w:szCs w:val="22"/>
        </w:rPr>
      </w:pPr>
      <w:r w:rsidRPr="00BC253A">
        <w:rPr>
          <w:rFonts w:ascii="Calibri" w:hAnsi="Calibri" w:cs="Calibri"/>
          <w:sz w:val="22"/>
          <w:szCs w:val="22"/>
        </w:rPr>
        <w:br/>
        <w:t>La Banca potrà considerare le risultanze del sistema di analisi ANCE “Ti accompagno in Banca” come elemento aggiuntivo per la valutazione della sostenibilità dell’impresa e della validità del progetto di sviluppo.</w:t>
      </w:r>
    </w:p>
    <w:p w14:paraId="32146510" w14:textId="77777777" w:rsidR="0011596E" w:rsidRPr="00BC253A" w:rsidRDefault="0011596E" w:rsidP="0011596E">
      <w:pPr>
        <w:rPr>
          <w:rFonts w:ascii="Calibri" w:hAnsi="Calibri" w:cs="Calibri"/>
          <w:sz w:val="22"/>
          <w:szCs w:val="22"/>
        </w:rPr>
      </w:pPr>
      <w:r w:rsidRPr="00BC253A">
        <w:rPr>
          <w:rFonts w:ascii="Calibri" w:hAnsi="Calibri" w:cs="Calibri"/>
          <w:sz w:val="22"/>
          <w:szCs w:val="22"/>
        </w:rPr>
        <w:br/>
      </w:r>
    </w:p>
    <w:p w14:paraId="3D4AB0E6" w14:textId="7A914516" w:rsidR="0011596E" w:rsidRPr="00BC253A" w:rsidRDefault="0011596E" w:rsidP="0011596E">
      <w:pPr>
        <w:rPr>
          <w:rFonts w:ascii="Calibri" w:hAnsi="Calibri" w:cs="Calibri"/>
          <w:sz w:val="22"/>
          <w:szCs w:val="22"/>
        </w:rPr>
      </w:pPr>
      <w:r w:rsidRPr="00BC253A">
        <w:rPr>
          <w:rFonts w:ascii="Calibri" w:hAnsi="Calibri" w:cs="Calibri"/>
          <w:sz w:val="22"/>
          <w:szCs w:val="22"/>
        </w:rPr>
        <w:lastRenderedPageBreak/>
        <w:t>Particolare attenzione verrà rivolta allo studio di soluzioni innovative, coerenti con le norme urbanistiche vigenti tempo per tempo, che possano facilitare il risparmio del suolo attraverso iniziative di recupero e rigenerazione urbana, accelerando al contempo il rinnovamento del patrimonio immobiliare italiano, con particolare riguardo agli sviluppi sul fronte delle smart city.</w:t>
      </w:r>
    </w:p>
    <w:p w14:paraId="75713FD1" w14:textId="77777777" w:rsidR="0011596E" w:rsidRPr="00BC253A" w:rsidRDefault="0011596E" w:rsidP="0011596E">
      <w:pPr>
        <w:rPr>
          <w:rFonts w:ascii="Calibri" w:hAnsi="Calibri" w:cs="Calibri"/>
          <w:sz w:val="22"/>
          <w:szCs w:val="22"/>
        </w:rPr>
      </w:pPr>
      <w:r w:rsidRPr="00BC253A">
        <w:rPr>
          <w:rFonts w:ascii="Calibri" w:hAnsi="Calibri" w:cs="Calibri"/>
          <w:sz w:val="22"/>
          <w:szCs w:val="22"/>
        </w:rPr>
        <w:br/>
        <w:t xml:space="preserve">Inoltre, a completamento dell’offerta, sarà possibile per tutti gli associati accedere al plafond </w:t>
      </w:r>
      <w:proofErr w:type="spellStart"/>
      <w:r w:rsidRPr="00BC253A">
        <w:rPr>
          <w:rFonts w:ascii="Calibri" w:hAnsi="Calibri" w:cs="Calibri"/>
          <w:sz w:val="22"/>
          <w:szCs w:val="22"/>
        </w:rPr>
        <w:t>Circular</w:t>
      </w:r>
      <w:proofErr w:type="spellEnd"/>
      <w:r w:rsidRPr="00BC253A">
        <w:rPr>
          <w:rFonts w:ascii="Calibri" w:hAnsi="Calibri" w:cs="Calibri"/>
          <w:sz w:val="22"/>
          <w:szCs w:val="22"/>
        </w:rPr>
        <w:t xml:space="preserve"> Economy della banca, alle soluzioni formative del Gruppo e, attraverso Intesa Sanpaolo </w:t>
      </w:r>
      <w:proofErr w:type="spellStart"/>
      <w:r w:rsidRPr="00BC253A">
        <w:rPr>
          <w:rFonts w:ascii="Calibri" w:hAnsi="Calibri" w:cs="Calibri"/>
          <w:sz w:val="22"/>
          <w:szCs w:val="22"/>
        </w:rPr>
        <w:t>Forvalue</w:t>
      </w:r>
      <w:proofErr w:type="spellEnd"/>
      <w:r w:rsidRPr="00BC253A">
        <w:rPr>
          <w:rFonts w:ascii="Calibri" w:hAnsi="Calibri" w:cs="Calibri"/>
          <w:sz w:val="22"/>
          <w:szCs w:val="22"/>
        </w:rPr>
        <w:t>, a servizi non finanziari, di e-commerce e di strumenti informatici per favorire la digitalizzazione delle imprese nonché al noleggio di autoveicoli e beni strumentali. Le imprese associate potranno in aggiunta utilizzare la piattaforma Welfare Hub di Intesa Sanpaolo, dove sono disponibili prodotti e servizi di welfare aziendale da destinare ai propri dipendenti. </w:t>
      </w:r>
    </w:p>
    <w:p w14:paraId="14AA3415" w14:textId="77777777" w:rsidR="0011596E" w:rsidRPr="00BC253A" w:rsidRDefault="0011596E" w:rsidP="0011596E">
      <w:pPr>
        <w:rPr>
          <w:rFonts w:ascii="Calibri" w:hAnsi="Calibri" w:cs="Calibri"/>
          <w:sz w:val="22"/>
          <w:szCs w:val="22"/>
        </w:rPr>
      </w:pPr>
      <w:r w:rsidRPr="00BC253A">
        <w:rPr>
          <w:rFonts w:ascii="Calibri" w:hAnsi="Calibri" w:cs="Calibri"/>
          <w:sz w:val="22"/>
          <w:szCs w:val="22"/>
        </w:rPr>
        <w:br/>
        <w:t xml:space="preserve">“L’obiettivo di questo accordo è rimettere le imprese di costruzioni nelle condizioni di ricevere un sostegno finanziario per l’avvio di nuove iniziative, a cominciare dalle operazioni di rigenerazione urbana, riqualificazione energetica e messa in sicurezza degli edifici sfruttando le enormi potenzialità del superbonus 110%”, commenta il presidente dell’Ance, </w:t>
      </w:r>
      <w:r w:rsidRPr="00BC253A">
        <w:rPr>
          <w:rFonts w:ascii="Calibri" w:hAnsi="Calibri" w:cs="Calibri"/>
          <w:b/>
          <w:bCs/>
          <w:sz w:val="22"/>
          <w:szCs w:val="22"/>
        </w:rPr>
        <w:t>Gabriele Buia</w:t>
      </w:r>
      <w:r w:rsidRPr="00BC253A">
        <w:rPr>
          <w:rFonts w:ascii="Calibri" w:hAnsi="Calibri" w:cs="Calibri"/>
          <w:sz w:val="22"/>
          <w:szCs w:val="22"/>
        </w:rPr>
        <w:t>, che aggiunge: “Solo così imprese e famiglie potranno cogliere appieno tutte le potenzialità del nuovo bonus fiscale contribuendo al rilancio del settore e dell’economia.”</w:t>
      </w:r>
    </w:p>
    <w:p w14:paraId="609CC68B" w14:textId="77777777" w:rsidR="0011596E" w:rsidRPr="00F50FD9" w:rsidRDefault="0011596E" w:rsidP="0011596E">
      <w:r w:rsidRPr="00BC253A">
        <w:rPr>
          <w:rFonts w:ascii="Calibri" w:hAnsi="Calibri" w:cs="Calibri"/>
          <w:sz w:val="22"/>
          <w:szCs w:val="22"/>
        </w:rPr>
        <w:br/>
        <w:t xml:space="preserve">“Sostenere le imprese del settore delle costruzioni in un momento così importante e al contempo delicato qual è l’attuale, significa cogliere le enormi potenzialità per il nostro Paese di efficientare il proprio patrimonio immobiliare. In Italia, infatti, solo il 30% degli immobili appartiene a una classe energetica medio-alta, mentre il resto necessita di lavori di adeguamento. Dotare le nostre abitazioni e città delle migliori tecnologie green oggi a disposizione, consentirà da un lato di migliorarne i consumi e, dall’altro, di ridurne l’impatto ambientale a beneficio delle generazioni future” ha sottolineato </w:t>
      </w:r>
      <w:r w:rsidRPr="00BC253A">
        <w:rPr>
          <w:rFonts w:ascii="Calibri" w:hAnsi="Calibri" w:cs="Calibri"/>
          <w:b/>
          <w:bCs/>
          <w:sz w:val="22"/>
          <w:szCs w:val="22"/>
        </w:rPr>
        <w:t>Stefano Barrese</w:t>
      </w:r>
      <w:r w:rsidRPr="00BC253A">
        <w:rPr>
          <w:rFonts w:ascii="Calibri" w:hAnsi="Calibri" w:cs="Calibri"/>
          <w:sz w:val="22"/>
          <w:szCs w:val="22"/>
        </w:rPr>
        <w:t>, responsabile della Divisione Banca dei Territori di Intesa Sanpaolo.</w:t>
      </w:r>
      <w:r w:rsidRPr="00F50FD9">
        <w:br/>
        <w:t> </w:t>
      </w:r>
    </w:p>
    <w:p w14:paraId="46E80CBB" w14:textId="77777777" w:rsidR="0011596E" w:rsidRPr="0011596E" w:rsidRDefault="0011596E" w:rsidP="00FD496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4ECF1F" w14:textId="445864B8" w:rsidR="00C86132" w:rsidRPr="00DA2F6A" w:rsidRDefault="00C86132" w:rsidP="00FD49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5F721D3" w14:textId="77777777" w:rsidR="007930A8" w:rsidRPr="00DA2F6A" w:rsidRDefault="007930A8" w:rsidP="00FD4966">
      <w:pPr>
        <w:pStyle w:val="NormaleWeb"/>
        <w:jc w:val="both"/>
        <w:rPr>
          <w:rFonts w:ascii="Calibri" w:hAnsi="Calibri" w:cs="Calibri"/>
          <w:sz w:val="22"/>
          <w:szCs w:val="22"/>
        </w:rPr>
      </w:pPr>
    </w:p>
    <w:p w14:paraId="70EB4914" w14:textId="77777777" w:rsidR="007930A8" w:rsidRPr="00DA2F6A" w:rsidRDefault="007930A8" w:rsidP="00FD4966">
      <w:pPr>
        <w:pStyle w:val="NormaleWeb"/>
        <w:jc w:val="both"/>
        <w:rPr>
          <w:rFonts w:ascii="Calibri" w:hAnsi="Calibri" w:cs="Calibri"/>
          <w:sz w:val="22"/>
          <w:szCs w:val="22"/>
        </w:rPr>
      </w:pPr>
    </w:p>
    <w:p w14:paraId="559C0EBE" w14:textId="14D95700" w:rsidR="006411DF" w:rsidRPr="00DA2F6A" w:rsidRDefault="006411DF" w:rsidP="00FD4966">
      <w:pPr>
        <w:pStyle w:val="NormaleWeb"/>
        <w:jc w:val="both"/>
        <w:rPr>
          <w:rStyle w:val="Enfasigrassetto"/>
          <w:rFonts w:ascii="Calibri" w:hAnsi="Calibri" w:cs="Calibri"/>
          <w:sz w:val="22"/>
          <w:szCs w:val="22"/>
        </w:rPr>
      </w:pPr>
      <w:r w:rsidRPr="00DA2F6A">
        <w:rPr>
          <w:rStyle w:val="Enfasigrassetto"/>
          <w:rFonts w:ascii="Calibri" w:hAnsi="Calibri" w:cs="Calibri"/>
          <w:sz w:val="22"/>
          <w:szCs w:val="22"/>
        </w:rPr>
        <w:t>Riferimenti:</w:t>
      </w:r>
    </w:p>
    <w:p w14:paraId="5EEE77D9" w14:textId="77777777" w:rsidR="006411DF" w:rsidRPr="00DA2F6A" w:rsidRDefault="006411DF" w:rsidP="00FD4966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DA2F6A">
        <w:rPr>
          <w:rFonts w:ascii="Calibri" w:hAnsi="Calibri" w:cs="Calibri"/>
          <w:sz w:val="22"/>
          <w:szCs w:val="22"/>
        </w:rPr>
        <w:t>ANCE UMBRIA</w:t>
      </w:r>
    </w:p>
    <w:p w14:paraId="7D78A98D" w14:textId="6B907D09" w:rsidR="006411DF" w:rsidRPr="00DA2F6A" w:rsidRDefault="006411DF" w:rsidP="00FD4966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DA2F6A">
        <w:rPr>
          <w:rFonts w:ascii="Calibri" w:hAnsi="Calibri" w:cs="Calibri"/>
          <w:sz w:val="22"/>
          <w:szCs w:val="22"/>
        </w:rPr>
        <w:t xml:space="preserve">Perugia – </w:t>
      </w:r>
      <w:hyperlink r:id="rId7" w:history="1">
        <w:r w:rsidRPr="00DA2F6A">
          <w:rPr>
            <w:rStyle w:val="Collegamentoipertestuale"/>
            <w:rFonts w:ascii="Calibri" w:hAnsi="Calibri" w:cs="Calibri"/>
            <w:sz w:val="22"/>
            <w:szCs w:val="22"/>
          </w:rPr>
          <w:t>info@anceumbria.it</w:t>
        </w:r>
      </w:hyperlink>
      <w:r w:rsidRPr="00DA2F6A">
        <w:rPr>
          <w:rFonts w:ascii="Calibri" w:hAnsi="Calibri" w:cs="Calibri"/>
          <w:sz w:val="22"/>
          <w:szCs w:val="22"/>
        </w:rPr>
        <w:t xml:space="preserve"> - Tel. 075/582751</w:t>
      </w:r>
    </w:p>
    <w:p w14:paraId="190D91BE" w14:textId="469279D8" w:rsidR="006411DF" w:rsidRPr="00DA2F6A" w:rsidRDefault="006411DF" w:rsidP="00FD4966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DA2F6A">
        <w:rPr>
          <w:rFonts w:ascii="Calibri" w:hAnsi="Calibri" w:cs="Calibri"/>
          <w:sz w:val="22"/>
          <w:szCs w:val="22"/>
        </w:rPr>
        <w:t xml:space="preserve">Terni - </w:t>
      </w:r>
      <w:hyperlink r:id="rId8" w:history="1">
        <w:r w:rsidRPr="00DA2F6A">
          <w:rPr>
            <w:rStyle w:val="Collegamentoipertestuale"/>
            <w:rFonts w:ascii="Calibri" w:hAnsi="Calibri" w:cs="Calibri"/>
            <w:sz w:val="22"/>
            <w:szCs w:val="22"/>
          </w:rPr>
          <w:t>edilizia@confindustria.terni.it</w:t>
        </w:r>
      </w:hyperlink>
      <w:r w:rsidRPr="00DA2F6A">
        <w:rPr>
          <w:rFonts w:ascii="Calibri" w:hAnsi="Calibri" w:cs="Calibri"/>
          <w:sz w:val="22"/>
          <w:szCs w:val="22"/>
        </w:rPr>
        <w:t xml:space="preserve"> - Tel. 0744/443411</w:t>
      </w:r>
    </w:p>
    <w:p w14:paraId="389CE1E4" w14:textId="7F95CC6F" w:rsidR="005A6420" w:rsidRPr="00DA2F6A" w:rsidRDefault="005A6420" w:rsidP="00FD496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5547163E" w14:textId="0D5F794F" w:rsidR="00371573" w:rsidRPr="00DA2F6A" w:rsidRDefault="00371573" w:rsidP="00FD496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22BD74B0" w14:textId="59324520" w:rsidR="007930A8" w:rsidRPr="00DA2F6A" w:rsidRDefault="007930A8" w:rsidP="00FD496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892B783" w14:textId="2F970318" w:rsidR="007930A8" w:rsidRPr="00DA2F6A" w:rsidRDefault="007930A8" w:rsidP="00FD496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4F5E75C7" w14:textId="75D926C3" w:rsidR="007930A8" w:rsidRPr="00DA2F6A" w:rsidRDefault="007930A8" w:rsidP="00FD496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26B0EE05" w14:textId="6CA7EDEF" w:rsidR="007930A8" w:rsidRPr="00DA2F6A" w:rsidRDefault="007930A8" w:rsidP="00FD496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015FEBE7" w14:textId="57E9BCFB" w:rsidR="007930A8" w:rsidRPr="00DA2F6A" w:rsidRDefault="007930A8" w:rsidP="00FD496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3D03CEA3" w14:textId="561B2645" w:rsidR="007930A8" w:rsidRPr="00DA2F6A" w:rsidRDefault="007930A8" w:rsidP="00FD496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6A9803D9" w14:textId="77777777" w:rsidR="007930A8" w:rsidRPr="00DA2F6A" w:rsidRDefault="007930A8" w:rsidP="00FD496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FBCA73E" w14:textId="7D0CEDE0" w:rsidR="00783E6E" w:rsidRPr="00DA2F6A" w:rsidRDefault="00952E48" w:rsidP="00FD496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="Calibri" w:hAnsi="Calibri" w:cs="Calibri"/>
          <w:sz w:val="22"/>
          <w:szCs w:val="22"/>
        </w:rPr>
      </w:pPr>
      <w:r w:rsidRPr="00DA2F6A">
        <w:rPr>
          <w:rFonts w:ascii="Calibri" w:hAnsi="Calibri" w:cs="Calibri"/>
          <w:sz w:val="22"/>
          <w:szCs w:val="22"/>
        </w:rPr>
        <w:t xml:space="preserve">Pubblicato il </w:t>
      </w:r>
      <w:r w:rsidR="00FD4966" w:rsidRPr="00DA2F6A">
        <w:rPr>
          <w:rFonts w:ascii="Calibri" w:hAnsi="Calibri" w:cs="Calibri"/>
          <w:sz w:val="22"/>
          <w:szCs w:val="22"/>
        </w:rPr>
        <w:t>0</w:t>
      </w:r>
      <w:r w:rsidR="0011596E">
        <w:rPr>
          <w:rFonts w:ascii="Calibri" w:hAnsi="Calibri" w:cs="Calibri"/>
          <w:sz w:val="22"/>
          <w:szCs w:val="22"/>
        </w:rPr>
        <w:t>7</w:t>
      </w:r>
      <w:r w:rsidR="00FD4966" w:rsidRPr="00DA2F6A">
        <w:rPr>
          <w:rFonts w:ascii="Calibri" w:hAnsi="Calibri" w:cs="Calibri"/>
          <w:sz w:val="22"/>
          <w:szCs w:val="22"/>
        </w:rPr>
        <w:t>/08</w:t>
      </w:r>
      <w:r w:rsidR="00297F87" w:rsidRPr="00DA2F6A">
        <w:rPr>
          <w:rFonts w:ascii="Calibri" w:hAnsi="Calibri" w:cs="Calibri"/>
          <w:sz w:val="22"/>
          <w:szCs w:val="22"/>
        </w:rPr>
        <w:t>/2020</w:t>
      </w:r>
    </w:p>
    <w:sectPr w:rsidR="00783E6E" w:rsidRPr="00DA2F6A" w:rsidSect="004E62C8">
      <w:headerReference w:type="first" r:id="rId9"/>
      <w:footerReference w:type="first" r:id="rId10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9CE22" w14:textId="77777777" w:rsidR="00BC253A" w:rsidRDefault="00BC253A">
      <w:r>
        <w:separator/>
      </w:r>
    </w:p>
  </w:endnote>
  <w:endnote w:type="continuationSeparator" w:id="0">
    <w:p w14:paraId="36DCA2CE" w14:textId="77777777" w:rsidR="00BC253A" w:rsidRDefault="00BC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657D5" w14:textId="77777777" w:rsidR="00BC253A" w:rsidRDefault="00BC253A">
      <w:r>
        <w:separator/>
      </w:r>
    </w:p>
  </w:footnote>
  <w:footnote w:type="continuationSeparator" w:id="0">
    <w:p w14:paraId="04434AE6" w14:textId="77777777" w:rsidR="00BC253A" w:rsidRDefault="00BC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77777777" w:rsidR="001867E9" w:rsidRDefault="00BC253A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pict w14:anchorId="6656F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6" type="#_x0000_t75" alt="acquila" style="width:40.3pt;height:39.15pt;visibility:visible">
                <v:imagedata r:id="rId1" o:title="acquila"/>
              </v:shape>
            </w:pict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05D1"/>
    <w:multiLevelType w:val="hybridMultilevel"/>
    <w:tmpl w:val="A0D45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A05A1"/>
    <w:multiLevelType w:val="multilevel"/>
    <w:tmpl w:val="47EC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C3BC2"/>
    <w:multiLevelType w:val="hybridMultilevel"/>
    <w:tmpl w:val="3D44C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9768B"/>
    <w:multiLevelType w:val="hybridMultilevel"/>
    <w:tmpl w:val="2410CC46"/>
    <w:styleLink w:val="Puntielenco"/>
    <w:lvl w:ilvl="0" w:tplc="4860FCE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2C70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1A55E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FAB04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5295D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9C116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CFE5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EB8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F287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837219F"/>
    <w:multiLevelType w:val="hybridMultilevel"/>
    <w:tmpl w:val="146E400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793D75C0"/>
    <w:multiLevelType w:val="hybridMultilevel"/>
    <w:tmpl w:val="E362D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418"/>
    <w:rsid w:val="000013D4"/>
    <w:rsid w:val="000018C4"/>
    <w:rsid w:val="00002340"/>
    <w:rsid w:val="00012716"/>
    <w:rsid w:val="000143BB"/>
    <w:rsid w:val="00014CFE"/>
    <w:rsid w:val="00016196"/>
    <w:rsid w:val="00030A72"/>
    <w:rsid w:val="000369D4"/>
    <w:rsid w:val="00037418"/>
    <w:rsid w:val="00040CFB"/>
    <w:rsid w:val="0004674A"/>
    <w:rsid w:val="00052071"/>
    <w:rsid w:val="000539CB"/>
    <w:rsid w:val="00053A2C"/>
    <w:rsid w:val="000614F9"/>
    <w:rsid w:val="000625BE"/>
    <w:rsid w:val="000637F2"/>
    <w:rsid w:val="000703BF"/>
    <w:rsid w:val="000742BE"/>
    <w:rsid w:val="00080ADD"/>
    <w:rsid w:val="00087150"/>
    <w:rsid w:val="0009085F"/>
    <w:rsid w:val="000B06C6"/>
    <w:rsid w:val="000B2103"/>
    <w:rsid w:val="000C53BB"/>
    <w:rsid w:val="000D0123"/>
    <w:rsid w:val="000D36C6"/>
    <w:rsid w:val="000D45D8"/>
    <w:rsid w:val="000D4668"/>
    <w:rsid w:val="000D4ADA"/>
    <w:rsid w:val="000E38C9"/>
    <w:rsid w:val="000E6DB1"/>
    <w:rsid w:val="0010566D"/>
    <w:rsid w:val="0011596E"/>
    <w:rsid w:val="00126D4F"/>
    <w:rsid w:val="001311CA"/>
    <w:rsid w:val="00134010"/>
    <w:rsid w:val="0013536D"/>
    <w:rsid w:val="00136808"/>
    <w:rsid w:val="00151B1D"/>
    <w:rsid w:val="00151BDD"/>
    <w:rsid w:val="00160F19"/>
    <w:rsid w:val="001674E2"/>
    <w:rsid w:val="00172666"/>
    <w:rsid w:val="00177173"/>
    <w:rsid w:val="00181F9E"/>
    <w:rsid w:val="001867E9"/>
    <w:rsid w:val="00197786"/>
    <w:rsid w:val="001A0EA6"/>
    <w:rsid w:val="001A61DB"/>
    <w:rsid w:val="001B0373"/>
    <w:rsid w:val="001B1366"/>
    <w:rsid w:val="001B68B7"/>
    <w:rsid w:val="001C016B"/>
    <w:rsid w:val="001C5C73"/>
    <w:rsid w:val="001D46AD"/>
    <w:rsid w:val="001D783D"/>
    <w:rsid w:val="001D7F3D"/>
    <w:rsid w:val="001E0909"/>
    <w:rsid w:val="001E1A02"/>
    <w:rsid w:val="001E720B"/>
    <w:rsid w:val="001F202A"/>
    <w:rsid w:val="001F48AB"/>
    <w:rsid w:val="001F4BA5"/>
    <w:rsid w:val="0020292B"/>
    <w:rsid w:val="00206722"/>
    <w:rsid w:val="00210ED4"/>
    <w:rsid w:val="002113BA"/>
    <w:rsid w:val="002166C4"/>
    <w:rsid w:val="0022540F"/>
    <w:rsid w:val="00230989"/>
    <w:rsid w:val="00237B46"/>
    <w:rsid w:val="00241A95"/>
    <w:rsid w:val="00242295"/>
    <w:rsid w:val="00254095"/>
    <w:rsid w:val="002650B4"/>
    <w:rsid w:val="002655A5"/>
    <w:rsid w:val="00265FD1"/>
    <w:rsid w:val="00267F8E"/>
    <w:rsid w:val="0027190F"/>
    <w:rsid w:val="0027421E"/>
    <w:rsid w:val="002743DA"/>
    <w:rsid w:val="00293463"/>
    <w:rsid w:val="002959ED"/>
    <w:rsid w:val="00297F87"/>
    <w:rsid w:val="002A6DFD"/>
    <w:rsid w:val="002B3446"/>
    <w:rsid w:val="002B7EEB"/>
    <w:rsid w:val="002D246E"/>
    <w:rsid w:val="002D2B28"/>
    <w:rsid w:val="002E4047"/>
    <w:rsid w:val="002F44A9"/>
    <w:rsid w:val="00300CDB"/>
    <w:rsid w:val="00306EA7"/>
    <w:rsid w:val="003114C4"/>
    <w:rsid w:val="00322EE8"/>
    <w:rsid w:val="00326815"/>
    <w:rsid w:val="003347DC"/>
    <w:rsid w:val="0034265F"/>
    <w:rsid w:val="00363BF8"/>
    <w:rsid w:val="003646F3"/>
    <w:rsid w:val="00371573"/>
    <w:rsid w:val="00385BAE"/>
    <w:rsid w:val="003944BF"/>
    <w:rsid w:val="00395392"/>
    <w:rsid w:val="003A759E"/>
    <w:rsid w:val="003B0B57"/>
    <w:rsid w:val="003B6D95"/>
    <w:rsid w:val="003B7ED2"/>
    <w:rsid w:val="003C19FB"/>
    <w:rsid w:val="003C6682"/>
    <w:rsid w:val="003E5874"/>
    <w:rsid w:val="003F1228"/>
    <w:rsid w:val="0041047E"/>
    <w:rsid w:val="0041177C"/>
    <w:rsid w:val="0042052A"/>
    <w:rsid w:val="004353E3"/>
    <w:rsid w:val="004435C3"/>
    <w:rsid w:val="00454209"/>
    <w:rsid w:val="00462395"/>
    <w:rsid w:val="00465747"/>
    <w:rsid w:val="00472D2B"/>
    <w:rsid w:val="00474ADE"/>
    <w:rsid w:val="0047686E"/>
    <w:rsid w:val="00483E55"/>
    <w:rsid w:val="004A43B9"/>
    <w:rsid w:val="004A5095"/>
    <w:rsid w:val="004B0EF1"/>
    <w:rsid w:val="004B5C7B"/>
    <w:rsid w:val="004B691C"/>
    <w:rsid w:val="004C1CE6"/>
    <w:rsid w:val="004C2CC8"/>
    <w:rsid w:val="004C6703"/>
    <w:rsid w:val="004D48E8"/>
    <w:rsid w:val="004D4957"/>
    <w:rsid w:val="004E0C94"/>
    <w:rsid w:val="004E3922"/>
    <w:rsid w:val="004E62C8"/>
    <w:rsid w:val="004F2D22"/>
    <w:rsid w:val="00517FCD"/>
    <w:rsid w:val="00520F32"/>
    <w:rsid w:val="0053112D"/>
    <w:rsid w:val="00531CA4"/>
    <w:rsid w:val="00532542"/>
    <w:rsid w:val="00534E4E"/>
    <w:rsid w:val="00546306"/>
    <w:rsid w:val="005615FE"/>
    <w:rsid w:val="00565BA4"/>
    <w:rsid w:val="00570DF9"/>
    <w:rsid w:val="00571AA5"/>
    <w:rsid w:val="00572355"/>
    <w:rsid w:val="00580D22"/>
    <w:rsid w:val="00583231"/>
    <w:rsid w:val="00585124"/>
    <w:rsid w:val="00585847"/>
    <w:rsid w:val="005952A0"/>
    <w:rsid w:val="005A2FBD"/>
    <w:rsid w:val="005A6420"/>
    <w:rsid w:val="005A68AC"/>
    <w:rsid w:val="005B0270"/>
    <w:rsid w:val="005B68CD"/>
    <w:rsid w:val="005C488C"/>
    <w:rsid w:val="005D26BF"/>
    <w:rsid w:val="005D2783"/>
    <w:rsid w:val="005E05F4"/>
    <w:rsid w:val="005E29D1"/>
    <w:rsid w:val="005E2A6A"/>
    <w:rsid w:val="005E5E6F"/>
    <w:rsid w:val="005E694F"/>
    <w:rsid w:val="005F136F"/>
    <w:rsid w:val="00600B26"/>
    <w:rsid w:val="00606C5A"/>
    <w:rsid w:val="0061389C"/>
    <w:rsid w:val="00617528"/>
    <w:rsid w:val="00625F3C"/>
    <w:rsid w:val="00633A04"/>
    <w:rsid w:val="00634F54"/>
    <w:rsid w:val="006370DF"/>
    <w:rsid w:val="006411A6"/>
    <w:rsid w:val="006411DF"/>
    <w:rsid w:val="00646791"/>
    <w:rsid w:val="00654840"/>
    <w:rsid w:val="006731A1"/>
    <w:rsid w:val="00673C44"/>
    <w:rsid w:val="00684F34"/>
    <w:rsid w:val="00686CD4"/>
    <w:rsid w:val="0069445C"/>
    <w:rsid w:val="00696623"/>
    <w:rsid w:val="006A2CD6"/>
    <w:rsid w:val="006C0F54"/>
    <w:rsid w:val="006C26BE"/>
    <w:rsid w:val="006C4649"/>
    <w:rsid w:val="006C5530"/>
    <w:rsid w:val="006C6827"/>
    <w:rsid w:val="006D187D"/>
    <w:rsid w:val="006E4E22"/>
    <w:rsid w:val="006E64CC"/>
    <w:rsid w:val="006E71D6"/>
    <w:rsid w:val="006F3D2C"/>
    <w:rsid w:val="006F4A89"/>
    <w:rsid w:val="007006D5"/>
    <w:rsid w:val="00706997"/>
    <w:rsid w:val="00710780"/>
    <w:rsid w:val="007120A3"/>
    <w:rsid w:val="007212D6"/>
    <w:rsid w:val="00721719"/>
    <w:rsid w:val="007268E0"/>
    <w:rsid w:val="007278BF"/>
    <w:rsid w:val="00727E86"/>
    <w:rsid w:val="00730857"/>
    <w:rsid w:val="007336E8"/>
    <w:rsid w:val="00744DE8"/>
    <w:rsid w:val="00745E91"/>
    <w:rsid w:val="00754C9D"/>
    <w:rsid w:val="0075722D"/>
    <w:rsid w:val="00761C9E"/>
    <w:rsid w:val="00764518"/>
    <w:rsid w:val="00775FF9"/>
    <w:rsid w:val="00783E6E"/>
    <w:rsid w:val="007872ED"/>
    <w:rsid w:val="007900D5"/>
    <w:rsid w:val="007911A1"/>
    <w:rsid w:val="00792D99"/>
    <w:rsid w:val="007930A8"/>
    <w:rsid w:val="00793849"/>
    <w:rsid w:val="00796CE5"/>
    <w:rsid w:val="007A106A"/>
    <w:rsid w:val="007A4BC4"/>
    <w:rsid w:val="007B0324"/>
    <w:rsid w:val="007B0D7B"/>
    <w:rsid w:val="007B28C2"/>
    <w:rsid w:val="007B4F16"/>
    <w:rsid w:val="007B72D4"/>
    <w:rsid w:val="007B7550"/>
    <w:rsid w:val="007C1279"/>
    <w:rsid w:val="007D0756"/>
    <w:rsid w:val="007D102D"/>
    <w:rsid w:val="007D346E"/>
    <w:rsid w:val="007E02A8"/>
    <w:rsid w:val="007E1CB1"/>
    <w:rsid w:val="007E52F6"/>
    <w:rsid w:val="007E7A85"/>
    <w:rsid w:val="007F16F9"/>
    <w:rsid w:val="007F7D2A"/>
    <w:rsid w:val="00801AE3"/>
    <w:rsid w:val="008021EA"/>
    <w:rsid w:val="0080382C"/>
    <w:rsid w:val="008050CE"/>
    <w:rsid w:val="008122F0"/>
    <w:rsid w:val="00814B6A"/>
    <w:rsid w:val="00827AA4"/>
    <w:rsid w:val="0083206A"/>
    <w:rsid w:val="008324D4"/>
    <w:rsid w:val="00842CAC"/>
    <w:rsid w:val="0085090E"/>
    <w:rsid w:val="0089242A"/>
    <w:rsid w:val="00895D5A"/>
    <w:rsid w:val="008B3432"/>
    <w:rsid w:val="008B5620"/>
    <w:rsid w:val="008C21F3"/>
    <w:rsid w:val="008C6FB9"/>
    <w:rsid w:val="008E4D83"/>
    <w:rsid w:val="008F7F38"/>
    <w:rsid w:val="009023F1"/>
    <w:rsid w:val="0091416E"/>
    <w:rsid w:val="0092313F"/>
    <w:rsid w:val="00924F70"/>
    <w:rsid w:val="009259DA"/>
    <w:rsid w:val="00930421"/>
    <w:rsid w:val="00933A9A"/>
    <w:rsid w:val="00935FD9"/>
    <w:rsid w:val="00936AC3"/>
    <w:rsid w:val="00943AF3"/>
    <w:rsid w:val="00947B49"/>
    <w:rsid w:val="00951362"/>
    <w:rsid w:val="00952E48"/>
    <w:rsid w:val="00962B81"/>
    <w:rsid w:val="00964D43"/>
    <w:rsid w:val="00972881"/>
    <w:rsid w:val="009A181B"/>
    <w:rsid w:val="009A600B"/>
    <w:rsid w:val="009B0727"/>
    <w:rsid w:val="009B370B"/>
    <w:rsid w:val="009C5511"/>
    <w:rsid w:val="009C66FF"/>
    <w:rsid w:val="009D0AE2"/>
    <w:rsid w:val="009D26C3"/>
    <w:rsid w:val="009D42AF"/>
    <w:rsid w:val="009D58A8"/>
    <w:rsid w:val="009E0FC5"/>
    <w:rsid w:val="009E313A"/>
    <w:rsid w:val="009E5252"/>
    <w:rsid w:val="009E718E"/>
    <w:rsid w:val="009F00C9"/>
    <w:rsid w:val="009F30D5"/>
    <w:rsid w:val="00A00CC0"/>
    <w:rsid w:val="00A02167"/>
    <w:rsid w:val="00A029FA"/>
    <w:rsid w:val="00A100C9"/>
    <w:rsid w:val="00A108C5"/>
    <w:rsid w:val="00A2160D"/>
    <w:rsid w:val="00A238E8"/>
    <w:rsid w:val="00A27F82"/>
    <w:rsid w:val="00A35E9C"/>
    <w:rsid w:val="00A549EE"/>
    <w:rsid w:val="00A554C8"/>
    <w:rsid w:val="00A5706E"/>
    <w:rsid w:val="00A65A7B"/>
    <w:rsid w:val="00A72245"/>
    <w:rsid w:val="00A7325D"/>
    <w:rsid w:val="00A86C5A"/>
    <w:rsid w:val="00A874BE"/>
    <w:rsid w:val="00A92403"/>
    <w:rsid w:val="00AA0D22"/>
    <w:rsid w:val="00AA755B"/>
    <w:rsid w:val="00AA7A03"/>
    <w:rsid w:val="00AB5961"/>
    <w:rsid w:val="00AC09F6"/>
    <w:rsid w:val="00AC0DA4"/>
    <w:rsid w:val="00AC363E"/>
    <w:rsid w:val="00AD6736"/>
    <w:rsid w:val="00AE4116"/>
    <w:rsid w:val="00AE484B"/>
    <w:rsid w:val="00AE7C4C"/>
    <w:rsid w:val="00AF1207"/>
    <w:rsid w:val="00AF303A"/>
    <w:rsid w:val="00AF4404"/>
    <w:rsid w:val="00AF4D79"/>
    <w:rsid w:val="00AF6300"/>
    <w:rsid w:val="00B1385A"/>
    <w:rsid w:val="00B203AC"/>
    <w:rsid w:val="00B23422"/>
    <w:rsid w:val="00B27B4F"/>
    <w:rsid w:val="00B27DA0"/>
    <w:rsid w:val="00B34B96"/>
    <w:rsid w:val="00B37E06"/>
    <w:rsid w:val="00B44EC6"/>
    <w:rsid w:val="00B55997"/>
    <w:rsid w:val="00B56F41"/>
    <w:rsid w:val="00B71AF1"/>
    <w:rsid w:val="00B74B3D"/>
    <w:rsid w:val="00B90950"/>
    <w:rsid w:val="00B954F6"/>
    <w:rsid w:val="00B9787B"/>
    <w:rsid w:val="00B97A78"/>
    <w:rsid w:val="00BA6BD6"/>
    <w:rsid w:val="00BA7B76"/>
    <w:rsid w:val="00BB7D4D"/>
    <w:rsid w:val="00BC0691"/>
    <w:rsid w:val="00BC253A"/>
    <w:rsid w:val="00BC4801"/>
    <w:rsid w:val="00BD3C2C"/>
    <w:rsid w:val="00BD60DB"/>
    <w:rsid w:val="00C10A7A"/>
    <w:rsid w:val="00C13B4C"/>
    <w:rsid w:val="00C27714"/>
    <w:rsid w:val="00C433AC"/>
    <w:rsid w:val="00C46AA6"/>
    <w:rsid w:val="00C6046C"/>
    <w:rsid w:val="00C6483F"/>
    <w:rsid w:val="00C7079A"/>
    <w:rsid w:val="00C82C7A"/>
    <w:rsid w:val="00C86132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C42BA"/>
    <w:rsid w:val="00CD2F0A"/>
    <w:rsid w:val="00CD4A8E"/>
    <w:rsid w:val="00CE5F79"/>
    <w:rsid w:val="00CF6D2A"/>
    <w:rsid w:val="00D05B8F"/>
    <w:rsid w:val="00D06063"/>
    <w:rsid w:val="00D102CD"/>
    <w:rsid w:val="00D12686"/>
    <w:rsid w:val="00D12E1E"/>
    <w:rsid w:val="00D13CAB"/>
    <w:rsid w:val="00D2250C"/>
    <w:rsid w:val="00D24A1C"/>
    <w:rsid w:val="00D25CF8"/>
    <w:rsid w:val="00D30E39"/>
    <w:rsid w:val="00D327D9"/>
    <w:rsid w:val="00D32FC7"/>
    <w:rsid w:val="00D35077"/>
    <w:rsid w:val="00D403FB"/>
    <w:rsid w:val="00D46D8F"/>
    <w:rsid w:val="00D50F2A"/>
    <w:rsid w:val="00D54D0D"/>
    <w:rsid w:val="00D551CF"/>
    <w:rsid w:val="00D66BBB"/>
    <w:rsid w:val="00D67F7B"/>
    <w:rsid w:val="00D70745"/>
    <w:rsid w:val="00D71FF5"/>
    <w:rsid w:val="00D74092"/>
    <w:rsid w:val="00D77E54"/>
    <w:rsid w:val="00D9275A"/>
    <w:rsid w:val="00DA2F6A"/>
    <w:rsid w:val="00DA4273"/>
    <w:rsid w:val="00DA5995"/>
    <w:rsid w:val="00DB3985"/>
    <w:rsid w:val="00DB4953"/>
    <w:rsid w:val="00DC0ED4"/>
    <w:rsid w:val="00DC7F97"/>
    <w:rsid w:val="00DD019F"/>
    <w:rsid w:val="00DE15E7"/>
    <w:rsid w:val="00DF5163"/>
    <w:rsid w:val="00E15D00"/>
    <w:rsid w:val="00E20570"/>
    <w:rsid w:val="00E209CB"/>
    <w:rsid w:val="00E25D34"/>
    <w:rsid w:val="00E273B4"/>
    <w:rsid w:val="00E31E8B"/>
    <w:rsid w:val="00E36D39"/>
    <w:rsid w:val="00E44B8E"/>
    <w:rsid w:val="00E47D5B"/>
    <w:rsid w:val="00E5260E"/>
    <w:rsid w:val="00E56C4C"/>
    <w:rsid w:val="00E71CEB"/>
    <w:rsid w:val="00E74979"/>
    <w:rsid w:val="00E83FD1"/>
    <w:rsid w:val="00E906B5"/>
    <w:rsid w:val="00E909DF"/>
    <w:rsid w:val="00EA4465"/>
    <w:rsid w:val="00EB1B2C"/>
    <w:rsid w:val="00EB54EC"/>
    <w:rsid w:val="00EB5F34"/>
    <w:rsid w:val="00EB6196"/>
    <w:rsid w:val="00EB749A"/>
    <w:rsid w:val="00EC0D5D"/>
    <w:rsid w:val="00ED1726"/>
    <w:rsid w:val="00ED2018"/>
    <w:rsid w:val="00ED2B9F"/>
    <w:rsid w:val="00ED6E2C"/>
    <w:rsid w:val="00ED7B1E"/>
    <w:rsid w:val="00EE18FB"/>
    <w:rsid w:val="00EF1C88"/>
    <w:rsid w:val="00EF69AE"/>
    <w:rsid w:val="00F06540"/>
    <w:rsid w:val="00F136B4"/>
    <w:rsid w:val="00F169DE"/>
    <w:rsid w:val="00F23D65"/>
    <w:rsid w:val="00F31A89"/>
    <w:rsid w:val="00F32A75"/>
    <w:rsid w:val="00F4051C"/>
    <w:rsid w:val="00F4663F"/>
    <w:rsid w:val="00F51DA0"/>
    <w:rsid w:val="00F52882"/>
    <w:rsid w:val="00F53831"/>
    <w:rsid w:val="00F53938"/>
    <w:rsid w:val="00F53F66"/>
    <w:rsid w:val="00F60480"/>
    <w:rsid w:val="00F623AC"/>
    <w:rsid w:val="00F804E0"/>
    <w:rsid w:val="00F80976"/>
    <w:rsid w:val="00F81262"/>
    <w:rsid w:val="00F81771"/>
    <w:rsid w:val="00F9163B"/>
    <w:rsid w:val="00F94CCF"/>
    <w:rsid w:val="00FA52B2"/>
    <w:rsid w:val="00FC5166"/>
    <w:rsid w:val="00FC53D5"/>
    <w:rsid w:val="00FC6664"/>
    <w:rsid w:val="00F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  <w:style w:type="paragraph" w:customStyle="1" w:styleId="Didefault">
    <w:name w:val="Di default"/>
    <w:rsid w:val="002B34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Puntielenco">
    <w:name w:val="Punti elenco"/>
    <w:rsid w:val="002B3446"/>
    <w:pPr>
      <w:numPr>
        <w:numId w:val="1"/>
      </w:numPr>
    </w:pPr>
  </w:style>
  <w:style w:type="character" w:customStyle="1" w:styleId="Nessuno">
    <w:name w:val="Nessuno"/>
    <w:rsid w:val="002B3446"/>
  </w:style>
  <w:style w:type="character" w:customStyle="1" w:styleId="Hyperlink1">
    <w:name w:val="Hyperlink.1"/>
    <w:rsid w:val="002B3446"/>
    <w:rPr>
      <w:rFonts w:ascii="Tahoma" w:eastAsia="Tahoma" w:hAnsi="Tahoma" w:cs="Tahoma"/>
      <w:outline w:val="0"/>
      <w:color w:val="0070C0"/>
      <w:u w:val="single" w:color="0070C0"/>
    </w:rPr>
  </w:style>
  <w:style w:type="character" w:customStyle="1" w:styleId="Hyperlink0">
    <w:name w:val="Hyperlink.0"/>
    <w:rsid w:val="002B3446"/>
    <w:rPr>
      <w:outline w:val="0"/>
      <w:color w:val="0000FF"/>
      <w:u w:val="single" w:color="0000FF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549EE"/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semiHidden/>
    <w:rsid w:val="00A549E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W12ADC02\archivi\010_CONFINDUSTRIA%20UMBRIA\Notiziario\2020\EDILIZIA\edilizia@confindustria.terni.i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W12ADC02\archivi\010_CONFINDUSTRIA%20UMBRIA\Notiziario\2020\EDILIZIA\info@anceumbria.it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14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6080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Chiara Santilli</cp:lastModifiedBy>
  <cp:revision>7</cp:revision>
  <cp:lastPrinted>2019-02-27T17:41:00Z</cp:lastPrinted>
  <dcterms:created xsi:type="dcterms:W3CDTF">2020-08-06T06:33:00Z</dcterms:created>
  <dcterms:modified xsi:type="dcterms:W3CDTF">2020-08-07T11:16:00Z</dcterms:modified>
</cp:coreProperties>
</file>