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1E768" w14:textId="4153A7A7" w:rsidR="00D21307" w:rsidRDefault="00D04B92" w:rsidP="00D21307">
      <w:pPr>
        <w:autoSpaceDE w:val="0"/>
        <w:autoSpaceDN w:val="0"/>
        <w:adjustRightInd w:val="0"/>
        <w:rPr>
          <w:rFonts w:ascii="Calibri" w:hAnsi="Calibri" w:cs="Calibri"/>
          <w:b/>
          <w:bCs/>
          <w:color w:val="000000"/>
          <w:sz w:val="22"/>
          <w:szCs w:val="22"/>
        </w:rPr>
      </w:pPr>
      <w:r>
        <w:rPr>
          <w:rFonts w:ascii="Calibri" w:hAnsi="Calibri" w:cs="Calibri"/>
          <w:b/>
          <w:bCs/>
          <w:sz w:val="22"/>
          <w:szCs w:val="22"/>
        </w:rPr>
        <w:pict w14:anchorId="036903AB">
          <v:shape id="Segno di sottrazione 5" o:spid="_x0000_s1026" style="position:absolute;margin-left:-73.75pt;margin-top:-24pt;width:599.25pt;height:3.6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" path="m1008768,17483r5592939,l6601707,28236r-5592939,l1008768,17483xe" fillcolor="#205394" strokecolor="#385d8a" strokeweight="1pt">
            <v:path arrowok="t" o:connecttype="custom" o:connectlocs="1008768,17483;6601707,17483;6601707,28236;1008768,28236;1008768,17483" o:connectangles="0,0,0,0,0"/>
          </v:shape>
        </w:pict>
      </w:r>
      <w:r w:rsidR="00562252" w:rsidRPr="00562252">
        <w:rPr>
          <w:rFonts w:ascii="Calibri" w:hAnsi="Calibri" w:cs="Calibri"/>
          <w:b/>
          <w:bCs/>
          <w:color w:val="000000"/>
          <w:sz w:val="22"/>
          <w:szCs w:val="22"/>
        </w:rPr>
        <w:t>Cessione di edifici da demolire</w:t>
      </w:r>
      <w:r w:rsidR="00743781">
        <w:rPr>
          <w:rFonts w:ascii="Calibri" w:hAnsi="Calibri" w:cs="Calibri"/>
          <w:b/>
          <w:bCs/>
          <w:color w:val="000000"/>
          <w:sz w:val="22"/>
          <w:szCs w:val="22"/>
        </w:rPr>
        <w:t xml:space="preserve"> e </w:t>
      </w:r>
      <w:r w:rsidR="000B0E2B">
        <w:rPr>
          <w:rFonts w:ascii="Calibri" w:hAnsi="Calibri" w:cs="Calibri"/>
          <w:b/>
          <w:bCs/>
          <w:color w:val="000000"/>
          <w:sz w:val="22"/>
          <w:szCs w:val="22"/>
        </w:rPr>
        <w:t xml:space="preserve">trattamento fiscale delle </w:t>
      </w:r>
      <w:r w:rsidR="00562252">
        <w:rPr>
          <w:rFonts w:ascii="Calibri" w:hAnsi="Calibri" w:cs="Calibri"/>
          <w:b/>
          <w:bCs/>
          <w:color w:val="000000"/>
          <w:sz w:val="22"/>
          <w:szCs w:val="22"/>
        </w:rPr>
        <w:t>p</w:t>
      </w:r>
      <w:r w:rsidR="00562252" w:rsidRPr="00562252">
        <w:rPr>
          <w:rFonts w:ascii="Calibri" w:hAnsi="Calibri" w:cs="Calibri"/>
          <w:b/>
          <w:bCs/>
          <w:color w:val="000000"/>
          <w:sz w:val="22"/>
          <w:szCs w:val="22"/>
        </w:rPr>
        <w:t>lusvalenz</w:t>
      </w:r>
      <w:r w:rsidR="000B0E2B">
        <w:rPr>
          <w:rFonts w:ascii="Calibri" w:hAnsi="Calibri" w:cs="Calibri"/>
          <w:b/>
          <w:bCs/>
          <w:color w:val="000000"/>
          <w:sz w:val="22"/>
          <w:szCs w:val="22"/>
        </w:rPr>
        <w:t>e</w:t>
      </w:r>
    </w:p>
    <w:p w14:paraId="336AC2FC" w14:textId="77777777" w:rsidR="00D21307" w:rsidRDefault="00D21307" w:rsidP="00D21307">
      <w:pPr>
        <w:autoSpaceDE w:val="0"/>
        <w:autoSpaceDN w:val="0"/>
        <w:adjustRightInd w:val="0"/>
        <w:rPr>
          <w:rFonts w:ascii="Calibri" w:hAnsi="Calibri" w:cs="Calibri"/>
          <w:b/>
          <w:bCs/>
          <w:color w:val="000000"/>
          <w:sz w:val="22"/>
          <w:szCs w:val="22"/>
        </w:rPr>
      </w:pPr>
    </w:p>
    <w:p w14:paraId="548562C4" w14:textId="5B340391" w:rsidR="00D44D11" w:rsidRDefault="00562252" w:rsidP="00C3700B">
      <w:pPr>
        <w:rPr>
          <w:rFonts w:ascii="Calibri" w:hAnsi="Calibri" w:cs="Calibri Light"/>
          <w:sz w:val="22"/>
          <w:szCs w:val="22"/>
        </w:rPr>
      </w:pPr>
      <w:bookmarkStart w:id="0" w:name="_Hlk47423732"/>
      <w:r>
        <w:rPr>
          <w:rFonts w:ascii="Calibri" w:hAnsi="Calibri" w:cs="Calibri Light"/>
          <w:sz w:val="22"/>
          <w:szCs w:val="22"/>
        </w:rPr>
        <w:t>Chiarimenti dell’Agenzia delle Entrate</w:t>
      </w:r>
      <w:r w:rsidR="006F103B">
        <w:rPr>
          <w:rFonts w:ascii="Calibri" w:hAnsi="Calibri" w:cs="Calibri Light"/>
          <w:sz w:val="22"/>
          <w:szCs w:val="22"/>
        </w:rPr>
        <w:t>. Nota Ance</w:t>
      </w:r>
    </w:p>
    <w:bookmarkEnd w:id="0"/>
    <w:p w14:paraId="60F54955" w14:textId="6B3665E9" w:rsidR="00B00A2F" w:rsidRPr="008D2D79" w:rsidRDefault="00B00A2F" w:rsidP="00C3700B">
      <w:pPr>
        <w:rPr>
          <w:rFonts w:ascii="Calibri" w:hAnsi="Calibri" w:cs="Calibri"/>
          <w:sz w:val="22"/>
          <w:szCs w:val="22"/>
        </w:rPr>
      </w:pPr>
    </w:p>
    <w:p w14:paraId="49E057B3" w14:textId="1238E9AD" w:rsidR="00562252" w:rsidRPr="008D2D79" w:rsidRDefault="00562252" w:rsidP="00562252">
      <w:pPr>
        <w:autoSpaceDE w:val="0"/>
        <w:autoSpaceDN w:val="0"/>
        <w:adjustRightInd w:val="0"/>
        <w:rPr>
          <w:rFonts w:ascii="Calibri" w:hAnsi="Calibri" w:cs="Calibri"/>
          <w:color w:val="000000"/>
          <w:sz w:val="22"/>
          <w:szCs w:val="22"/>
        </w:rPr>
      </w:pPr>
      <w:r w:rsidRPr="008D2D79">
        <w:rPr>
          <w:rFonts w:ascii="Calibri" w:hAnsi="Calibri" w:cs="Calibri"/>
          <w:color w:val="000000"/>
          <w:sz w:val="22"/>
          <w:szCs w:val="22"/>
        </w:rPr>
        <w:t>In caso di trasferimento di un edificio da demolire in base ad un piano di recupero approvato dal Comune, l’oggetto della cessione su cui calcolare la relativa plusvalenza, ai fini IRPEF, è proprio il “fabbricato”, e non l’</w:t>
      </w:r>
      <w:r w:rsidRPr="008D2D79">
        <w:rPr>
          <w:rFonts w:ascii="Calibri" w:hAnsi="Calibri" w:cs="Calibri"/>
          <w:i/>
          <w:iCs/>
          <w:color w:val="000000"/>
          <w:sz w:val="22"/>
          <w:szCs w:val="22"/>
        </w:rPr>
        <w:t>area edificabile</w:t>
      </w:r>
      <w:r w:rsidRPr="008D2D79">
        <w:rPr>
          <w:rFonts w:ascii="Calibri" w:hAnsi="Calibri" w:cs="Calibri"/>
          <w:color w:val="000000"/>
          <w:sz w:val="22"/>
          <w:szCs w:val="22"/>
        </w:rPr>
        <w:t xml:space="preserve"> sottostante, su cui si svilupperà la nuova volumetria stabilita dal piano urbanistico.</w:t>
      </w:r>
    </w:p>
    <w:p w14:paraId="60CB6DD6" w14:textId="77777777" w:rsidR="00562252" w:rsidRPr="008D2D79" w:rsidRDefault="00562252" w:rsidP="00562252">
      <w:pPr>
        <w:autoSpaceDE w:val="0"/>
        <w:autoSpaceDN w:val="0"/>
        <w:adjustRightInd w:val="0"/>
        <w:rPr>
          <w:rFonts w:ascii="Calibri" w:hAnsi="Calibri" w:cs="Calibri"/>
          <w:color w:val="000000"/>
          <w:sz w:val="22"/>
          <w:szCs w:val="22"/>
        </w:rPr>
      </w:pPr>
    </w:p>
    <w:p w14:paraId="3E9158F3" w14:textId="23334D5C" w:rsidR="00562252" w:rsidRPr="008D2D79" w:rsidRDefault="00562252" w:rsidP="00562252">
      <w:pPr>
        <w:autoSpaceDE w:val="0"/>
        <w:autoSpaceDN w:val="0"/>
        <w:adjustRightInd w:val="0"/>
        <w:rPr>
          <w:rFonts w:ascii="Calibri" w:hAnsi="Calibri" w:cs="Calibri"/>
          <w:color w:val="000000"/>
          <w:sz w:val="22"/>
          <w:szCs w:val="22"/>
        </w:rPr>
      </w:pPr>
      <w:r w:rsidRPr="008D2D79">
        <w:rPr>
          <w:rFonts w:ascii="Calibri" w:hAnsi="Calibri" w:cs="Calibri"/>
          <w:color w:val="000000"/>
          <w:sz w:val="22"/>
          <w:szCs w:val="22"/>
        </w:rPr>
        <w:t xml:space="preserve">È l’importante chiarimento espresso dall’Agenzia delle Entrate nella </w:t>
      </w:r>
      <w:hyperlink r:id="rId7" w:history="1">
        <w:r w:rsidRPr="008D2D79">
          <w:rPr>
            <w:rStyle w:val="Collegamentoipertestuale"/>
            <w:rFonts w:ascii="Calibri" w:hAnsi="Calibri" w:cs="Calibri"/>
            <w:sz w:val="22"/>
            <w:szCs w:val="22"/>
          </w:rPr>
          <w:t>circolare 29 luglio 2020, n.23/E</w:t>
        </w:r>
      </w:hyperlink>
      <w:r w:rsidRPr="008D2D79">
        <w:rPr>
          <w:rFonts w:ascii="Calibri" w:hAnsi="Calibri" w:cs="Calibri"/>
          <w:color w:val="000000"/>
          <w:sz w:val="22"/>
          <w:szCs w:val="22"/>
        </w:rPr>
        <w:t>, in relazione al corretto trattamento fiscale applicabile, ai fini IRPEF, alla cessione di un edificio destinato alla demolizione in attuazione di un piano di recupero.</w:t>
      </w:r>
    </w:p>
    <w:p w14:paraId="022B9260" w14:textId="77777777" w:rsidR="00562252" w:rsidRPr="008D2D79" w:rsidRDefault="00562252" w:rsidP="00562252">
      <w:pPr>
        <w:autoSpaceDE w:val="0"/>
        <w:autoSpaceDN w:val="0"/>
        <w:adjustRightInd w:val="0"/>
        <w:rPr>
          <w:rFonts w:ascii="Calibri" w:hAnsi="Calibri" w:cs="Calibri"/>
          <w:color w:val="000000"/>
          <w:sz w:val="22"/>
          <w:szCs w:val="22"/>
        </w:rPr>
      </w:pPr>
    </w:p>
    <w:p w14:paraId="690E43D5" w14:textId="5C9B1915" w:rsidR="00562252" w:rsidRPr="008D2D79" w:rsidRDefault="00562252" w:rsidP="00562252">
      <w:pPr>
        <w:autoSpaceDE w:val="0"/>
        <w:autoSpaceDN w:val="0"/>
        <w:adjustRightInd w:val="0"/>
        <w:rPr>
          <w:rFonts w:ascii="Calibri" w:hAnsi="Calibri" w:cs="Calibri"/>
          <w:color w:val="000000"/>
          <w:sz w:val="22"/>
          <w:szCs w:val="22"/>
        </w:rPr>
      </w:pPr>
      <w:r w:rsidRPr="008D2D79">
        <w:rPr>
          <w:rFonts w:ascii="Calibri" w:hAnsi="Calibri" w:cs="Calibri"/>
          <w:color w:val="000000"/>
          <w:sz w:val="22"/>
          <w:szCs w:val="22"/>
        </w:rPr>
        <w:t>L’Amministrazione finanziaria disattende, così, una propria precedente pronuncia (la R.M. 395/E/2008), alla luce dell’ormai predominante indirizzo della Corte di Cassazione, in base al quale se su un’area esiste un fabbricato e questo viene ceduto, l’oggetto della compravendita è il trasferimento dell’edificio, a nulla rilevando la circostanza che l’immobile sia destinato alla successiva demolizione in base ad uno strumento urbanistico.</w:t>
      </w:r>
    </w:p>
    <w:p w14:paraId="634D2F3F" w14:textId="451E1AEA" w:rsidR="00562252" w:rsidRPr="008D2D79" w:rsidRDefault="00562252" w:rsidP="00562252">
      <w:pPr>
        <w:autoSpaceDE w:val="0"/>
        <w:autoSpaceDN w:val="0"/>
        <w:adjustRightInd w:val="0"/>
        <w:rPr>
          <w:rFonts w:ascii="Calibri" w:hAnsi="Calibri" w:cs="Calibri"/>
          <w:i/>
          <w:iCs/>
          <w:color w:val="000000"/>
          <w:sz w:val="22"/>
          <w:szCs w:val="22"/>
        </w:rPr>
      </w:pPr>
      <w:r w:rsidRPr="008D2D79">
        <w:rPr>
          <w:rFonts w:ascii="Calibri" w:hAnsi="Calibri" w:cs="Calibri"/>
          <w:color w:val="000000"/>
          <w:sz w:val="22"/>
          <w:szCs w:val="22"/>
        </w:rPr>
        <w:t xml:space="preserve">Infatti, l’area su cui insiste il fabbricato da cedere deve considerarsi già edificata </w:t>
      </w:r>
      <w:r w:rsidRPr="008D2D79">
        <w:rPr>
          <w:rFonts w:ascii="Calibri" w:hAnsi="Calibri" w:cs="Calibri"/>
          <w:i/>
          <w:iCs/>
          <w:color w:val="000000"/>
          <w:sz w:val="22"/>
          <w:szCs w:val="22"/>
        </w:rPr>
        <w:t>«e non può essere ricondotta alla previsione di “area suscettibile di utilizzazione edificatoria” di cui all’articolo 67 del TUIR».</w:t>
      </w:r>
    </w:p>
    <w:p w14:paraId="7C3141FC" w14:textId="77777777" w:rsidR="00562252" w:rsidRPr="008D2D79" w:rsidRDefault="00562252" w:rsidP="00562252">
      <w:pPr>
        <w:autoSpaceDE w:val="0"/>
        <w:autoSpaceDN w:val="0"/>
        <w:adjustRightInd w:val="0"/>
        <w:rPr>
          <w:rFonts w:ascii="Calibri" w:hAnsi="Calibri" w:cs="Calibri"/>
          <w:color w:val="000000"/>
          <w:sz w:val="22"/>
          <w:szCs w:val="22"/>
        </w:rPr>
      </w:pPr>
    </w:p>
    <w:p w14:paraId="231A812B" w14:textId="2EFB5D26" w:rsidR="00562252" w:rsidRPr="008D2D79" w:rsidRDefault="00562252" w:rsidP="00562252">
      <w:pPr>
        <w:autoSpaceDE w:val="0"/>
        <w:autoSpaceDN w:val="0"/>
        <w:adjustRightInd w:val="0"/>
        <w:rPr>
          <w:rFonts w:ascii="Calibri" w:hAnsi="Calibri" w:cs="Calibri"/>
          <w:color w:val="000000"/>
          <w:sz w:val="22"/>
          <w:szCs w:val="22"/>
        </w:rPr>
      </w:pPr>
      <w:r w:rsidRPr="008D2D79">
        <w:rPr>
          <w:rFonts w:ascii="Calibri" w:hAnsi="Calibri" w:cs="Calibri"/>
          <w:color w:val="000000"/>
          <w:sz w:val="22"/>
          <w:szCs w:val="22"/>
        </w:rPr>
        <w:t>La questione derivava dal diverso regime fiscale delle plusvalenze (intese come differenza positiva fra il corrispettivo di vendita e quello di acquisto dell’immobile), come “redditi diversi” ai fini IRPEF, applicabile nell’ipotesi di cessione:</w:t>
      </w:r>
    </w:p>
    <w:p w14:paraId="4ADA1D12" w14:textId="77777777" w:rsidR="00562252" w:rsidRPr="008D2D79" w:rsidRDefault="00562252" w:rsidP="00562252">
      <w:pPr>
        <w:pStyle w:val="Paragrafoelenco"/>
        <w:numPr>
          <w:ilvl w:val="0"/>
          <w:numId w:val="32"/>
        </w:numPr>
        <w:autoSpaceDE w:val="0"/>
        <w:autoSpaceDN w:val="0"/>
        <w:adjustRightInd w:val="0"/>
        <w:spacing w:after="0" w:line="240" w:lineRule="auto"/>
        <w:rPr>
          <w:rFonts w:cs="Calibri"/>
          <w:color w:val="000000"/>
        </w:rPr>
      </w:pPr>
      <w:r w:rsidRPr="008D2D79">
        <w:rPr>
          <w:rFonts w:cs="Calibri"/>
          <w:b/>
          <w:bCs/>
          <w:color w:val="000000"/>
        </w:rPr>
        <w:t>di un fabbricato</w:t>
      </w:r>
      <w:r w:rsidRPr="008D2D79">
        <w:rPr>
          <w:rFonts w:cs="Calibri"/>
          <w:color w:val="000000"/>
        </w:rPr>
        <w:t>. In tal caso, l’operazione è imponibile ad IRPEF solo se la cessione avviene entro cinque anni dall’acquisto o dalla costruzione dell’immobile (salvo specifiche eccezioni);</w:t>
      </w:r>
    </w:p>
    <w:p w14:paraId="2C9A1C33" w14:textId="77777777" w:rsidR="00562252" w:rsidRPr="008D2D79" w:rsidRDefault="00562252" w:rsidP="00562252">
      <w:pPr>
        <w:pStyle w:val="Paragrafoelenco"/>
        <w:numPr>
          <w:ilvl w:val="0"/>
          <w:numId w:val="32"/>
        </w:numPr>
        <w:autoSpaceDE w:val="0"/>
        <w:autoSpaceDN w:val="0"/>
        <w:adjustRightInd w:val="0"/>
        <w:spacing w:after="0" w:line="240" w:lineRule="auto"/>
        <w:rPr>
          <w:rFonts w:cs="Calibri"/>
          <w:color w:val="000000"/>
        </w:rPr>
      </w:pPr>
      <w:r w:rsidRPr="008D2D79">
        <w:rPr>
          <w:rFonts w:cs="Calibri"/>
          <w:color w:val="000000"/>
        </w:rPr>
        <w:t xml:space="preserve"> </w:t>
      </w:r>
      <w:r w:rsidRPr="008D2D79">
        <w:rPr>
          <w:rFonts w:cs="Calibri"/>
          <w:b/>
          <w:bCs/>
          <w:color w:val="000000"/>
        </w:rPr>
        <w:t>di un’area edificabile</w:t>
      </w:r>
      <w:r w:rsidRPr="008D2D79">
        <w:rPr>
          <w:rFonts w:cs="Calibri"/>
          <w:color w:val="000000"/>
        </w:rPr>
        <w:t>. In questa ipotesi, la plusvalenza generata dal trasferimento è sempre imponibile ad IRPEF, a prescindere dal periodo di possesso.</w:t>
      </w:r>
    </w:p>
    <w:p w14:paraId="61ABD4B9" w14:textId="77777777" w:rsidR="00562252" w:rsidRPr="008D2D79" w:rsidRDefault="00562252" w:rsidP="00562252">
      <w:pPr>
        <w:autoSpaceDE w:val="0"/>
        <w:autoSpaceDN w:val="0"/>
        <w:adjustRightInd w:val="0"/>
        <w:rPr>
          <w:rFonts w:ascii="Calibri" w:hAnsi="Calibri" w:cs="Calibri"/>
          <w:color w:val="000000"/>
          <w:sz w:val="22"/>
          <w:szCs w:val="22"/>
        </w:rPr>
      </w:pPr>
    </w:p>
    <w:p w14:paraId="2F389025" w14:textId="08BD4FD2" w:rsidR="00562252" w:rsidRPr="008D2D79" w:rsidRDefault="00562252" w:rsidP="00562252">
      <w:pPr>
        <w:autoSpaceDE w:val="0"/>
        <w:autoSpaceDN w:val="0"/>
        <w:adjustRightInd w:val="0"/>
        <w:rPr>
          <w:rFonts w:ascii="Calibri" w:hAnsi="Calibri" w:cs="Calibri"/>
          <w:color w:val="000000"/>
          <w:sz w:val="22"/>
          <w:szCs w:val="22"/>
        </w:rPr>
      </w:pPr>
      <w:r w:rsidRPr="008D2D79">
        <w:rPr>
          <w:rFonts w:ascii="Calibri" w:hAnsi="Calibri" w:cs="Calibri"/>
          <w:color w:val="000000"/>
          <w:sz w:val="22"/>
          <w:szCs w:val="22"/>
        </w:rPr>
        <w:t>A suo tempo, nell’ipotesi di cessione di un edificio inserito in un piano di recupero comunale, l’Agenzia delle Entrate, con la R.M. 395/E/2008 aveva ritenuto che il bene trasferito fosse da qualificare come “area edificabile”, in base allo schema di convenzione che comprendeva la «</w:t>
      </w:r>
      <w:r w:rsidRPr="008D2D79">
        <w:rPr>
          <w:rFonts w:ascii="Calibri" w:hAnsi="Calibri" w:cs="Calibri"/>
          <w:i/>
          <w:iCs/>
          <w:color w:val="000000"/>
          <w:sz w:val="22"/>
          <w:szCs w:val="22"/>
        </w:rPr>
        <w:t>preventiva demolizione degli edifici</w:t>
      </w:r>
      <w:r w:rsidRPr="008D2D79">
        <w:rPr>
          <w:rFonts w:ascii="Calibri" w:hAnsi="Calibri" w:cs="Calibri"/>
          <w:color w:val="000000"/>
          <w:sz w:val="22"/>
          <w:szCs w:val="22"/>
        </w:rPr>
        <w:t xml:space="preserve"> </w:t>
      </w:r>
      <w:r w:rsidRPr="008D2D79">
        <w:rPr>
          <w:rFonts w:ascii="Calibri" w:hAnsi="Calibri" w:cs="Calibri"/>
          <w:i/>
          <w:iCs/>
          <w:color w:val="000000"/>
          <w:sz w:val="22"/>
          <w:szCs w:val="22"/>
        </w:rPr>
        <w:t>esistenti»</w:t>
      </w:r>
      <w:r w:rsidRPr="008D2D79">
        <w:rPr>
          <w:rFonts w:ascii="Calibri" w:hAnsi="Calibri" w:cs="Calibri"/>
          <w:color w:val="000000"/>
          <w:sz w:val="22"/>
          <w:szCs w:val="22"/>
        </w:rPr>
        <w:t>. Di conseguenza, in conformità alle citate disposizioni normative, trattandosi del trasferimento di un’area, l’operazione veniva sempre considerata tassabile ai fini IRPEF.</w:t>
      </w:r>
    </w:p>
    <w:p w14:paraId="389DBB6B" w14:textId="77777777" w:rsidR="00562252" w:rsidRPr="008D2D79" w:rsidRDefault="00562252" w:rsidP="00562252">
      <w:pPr>
        <w:autoSpaceDE w:val="0"/>
        <w:autoSpaceDN w:val="0"/>
        <w:adjustRightInd w:val="0"/>
        <w:rPr>
          <w:rFonts w:ascii="Calibri" w:hAnsi="Calibri" w:cs="Calibri"/>
          <w:color w:val="000000"/>
          <w:sz w:val="22"/>
          <w:szCs w:val="22"/>
        </w:rPr>
      </w:pPr>
    </w:p>
    <w:p w14:paraId="27FE9716" w14:textId="7E135644" w:rsidR="00562252" w:rsidRPr="008D2D79" w:rsidRDefault="00562252" w:rsidP="00562252">
      <w:pPr>
        <w:autoSpaceDE w:val="0"/>
        <w:autoSpaceDN w:val="0"/>
        <w:adjustRightInd w:val="0"/>
        <w:rPr>
          <w:rFonts w:ascii="Calibri" w:hAnsi="Calibri" w:cs="Calibri"/>
          <w:color w:val="000000"/>
          <w:sz w:val="22"/>
          <w:szCs w:val="22"/>
        </w:rPr>
      </w:pPr>
      <w:r w:rsidRPr="008D2D79">
        <w:rPr>
          <w:rFonts w:ascii="Calibri" w:hAnsi="Calibri" w:cs="Calibri"/>
          <w:color w:val="000000"/>
          <w:sz w:val="22"/>
          <w:szCs w:val="22"/>
        </w:rPr>
        <w:t>Tenuto conto della prevalente giurisprudenza della Suprema Corte, che per tale fattispecie considera il fabbricato, e non l’area, come oggetto della cessione, anche l’Agenzia delle Entrate riconosce, nella circolare 23/E/2020, che il regime fiscale ai fini della plusvalenza deve essere quello più favorevole relativo ai fabbricati, in base al quale la tassazione opera unicamente in caso di cessione infraquinquennale dell’immobile (fatte salve le eccezioni normativamente previste).</w:t>
      </w:r>
    </w:p>
    <w:p w14:paraId="50297A4F" w14:textId="77777777" w:rsidR="00562252" w:rsidRPr="008D2D79" w:rsidRDefault="00562252" w:rsidP="00562252">
      <w:pPr>
        <w:autoSpaceDE w:val="0"/>
        <w:autoSpaceDN w:val="0"/>
        <w:adjustRightInd w:val="0"/>
        <w:rPr>
          <w:rFonts w:ascii="Calibri" w:hAnsi="Calibri" w:cs="Calibri"/>
          <w:color w:val="000000"/>
          <w:sz w:val="22"/>
          <w:szCs w:val="22"/>
        </w:rPr>
      </w:pPr>
    </w:p>
    <w:p w14:paraId="6CF6F0F2" w14:textId="14FE7F44" w:rsidR="00562252" w:rsidRPr="008D2D79" w:rsidRDefault="00562252" w:rsidP="00562252">
      <w:pPr>
        <w:autoSpaceDE w:val="0"/>
        <w:autoSpaceDN w:val="0"/>
        <w:adjustRightInd w:val="0"/>
        <w:rPr>
          <w:rFonts w:ascii="Calibri" w:hAnsi="Calibri" w:cs="Calibri"/>
          <w:color w:val="000000"/>
          <w:sz w:val="22"/>
          <w:szCs w:val="22"/>
        </w:rPr>
      </w:pPr>
      <w:r w:rsidRPr="008D2D79">
        <w:rPr>
          <w:rFonts w:ascii="Calibri" w:hAnsi="Calibri" w:cs="Calibri"/>
          <w:color w:val="000000"/>
          <w:sz w:val="22"/>
          <w:szCs w:val="22"/>
        </w:rPr>
        <w:t xml:space="preserve">Vengono, quindi, espressamente superate le indicazioni della R.M. 395/E/2008 e l’Agenzia delle Entrate, in sostanza, </w:t>
      </w:r>
      <w:r w:rsidRPr="008D2D79">
        <w:rPr>
          <w:rFonts w:ascii="Calibri" w:hAnsi="Calibri" w:cs="Calibri"/>
          <w:b/>
          <w:bCs/>
          <w:color w:val="000000"/>
          <w:sz w:val="22"/>
          <w:szCs w:val="22"/>
        </w:rPr>
        <w:t>rinuncia alla prosecuzione dei contenziosi in corso</w:t>
      </w:r>
      <w:r w:rsidRPr="008D2D79">
        <w:rPr>
          <w:rFonts w:ascii="Calibri" w:hAnsi="Calibri" w:cs="Calibri"/>
          <w:color w:val="000000"/>
          <w:sz w:val="22"/>
          <w:szCs w:val="22"/>
        </w:rPr>
        <w:t>, non essendo più ulteriormente sostenibili le proprie pretese.</w:t>
      </w:r>
    </w:p>
    <w:p w14:paraId="7A91AD34" w14:textId="77777777" w:rsidR="00562252" w:rsidRPr="008D2D79" w:rsidRDefault="00562252" w:rsidP="00562252">
      <w:pPr>
        <w:autoSpaceDE w:val="0"/>
        <w:autoSpaceDN w:val="0"/>
        <w:adjustRightInd w:val="0"/>
        <w:rPr>
          <w:rFonts w:ascii="Calibri" w:hAnsi="Calibri" w:cs="Calibri"/>
          <w:color w:val="000000"/>
          <w:sz w:val="22"/>
          <w:szCs w:val="22"/>
        </w:rPr>
      </w:pPr>
    </w:p>
    <w:p w14:paraId="34FCC471" w14:textId="34F8FF11" w:rsidR="00562252" w:rsidRPr="008D2D79" w:rsidRDefault="00562252" w:rsidP="00562252">
      <w:pPr>
        <w:autoSpaceDE w:val="0"/>
        <w:autoSpaceDN w:val="0"/>
        <w:adjustRightInd w:val="0"/>
        <w:rPr>
          <w:rFonts w:ascii="Calibri" w:hAnsi="Calibri" w:cs="Calibri"/>
          <w:color w:val="000000"/>
          <w:sz w:val="22"/>
          <w:szCs w:val="22"/>
        </w:rPr>
      </w:pPr>
      <w:r w:rsidRPr="008D2D79">
        <w:rPr>
          <w:rFonts w:ascii="Calibri" w:hAnsi="Calibri" w:cs="Calibri"/>
          <w:color w:val="000000"/>
          <w:sz w:val="22"/>
          <w:szCs w:val="22"/>
        </w:rPr>
        <w:lastRenderedPageBreak/>
        <w:t xml:space="preserve">Per completezza si evidenzia che il principio espresso nella circolare 23/E/2020 allinea il regime fiscale - in relazione alle imposte sui redditi - con quello dell’IVA, ai fini del quale la stessa Agenzia delle Entrate, per la medesima fattispecie di cessione di un edificio da demolire, ha fatto riferimento alla “natura oggettiva” del bene ceduto, qualificandolo come “fabbricato” (cd. “criterio catastale ai fini IVA”). </w:t>
      </w:r>
    </w:p>
    <w:p w14:paraId="20F08153" w14:textId="77777777" w:rsidR="00562252" w:rsidRDefault="00562252" w:rsidP="00C3700B">
      <w:pPr>
        <w:rPr>
          <w:rFonts w:ascii="Calibri" w:hAnsi="Calibri" w:cs="Calibri Light"/>
          <w:sz w:val="22"/>
          <w:szCs w:val="22"/>
        </w:rPr>
      </w:pPr>
    </w:p>
    <w:p w14:paraId="0578E004" w14:textId="77777777" w:rsidR="00466A5F" w:rsidRDefault="00466A5F" w:rsidP="000969C3">
      <w:pPr>
        <w:jc w:val="both"/>
        <w:rPr>
          <w:rFonts w:ascii="Calibri" w:hAnsi="Calibri" w:cs="Calibri Light"/>
          <w:b/>
          <w:bCs/>
          <w:sz w:val="22"/>
          <w:szCs w:val="22"/>
        </w:rPr>
      </w:pPr>
    </w:p>
    <w:p w14:paraId="7C7AA374" w14:textId="49216A71" w:rsidR="001A46F2" w:rsidRDefault="001A46F2" w:rsidP="008009D5">
      <w:pPr>
        <w:tabs>
          <w:tab w:val="left" w:pos="720"/>
          <w:tab w:val="left" w:pos="900"/>
          <w:tab w:val="left" w:pos="1260"/>
          <w:tab w:val="left" w:pos="5580"/>
          <w:tab w:val="left" w:pos="6120"/>
        </w:tabs>
        <w:ind w:right="-2"/>
        <w:rPr>
          <w:rFonts w:ascii="Calibri" w:hAnsi="Calibri" w:cs="Calibri"/>
          <w:b/>
          <w:bCs/>
          <w:sz w:val="22"/>
          <w:szCs w:val="22"/>
        </w:rPr>
      </w:pPr>
      <w:r>
        <w:rPr>
          <w:rFonts w:ascii="Calibri" w:hAnsi="Calibri" w:cs="Calibri"/>
          <w:b/>
          <w:bCs/>
          <w:sz w:val="22"/>
          <w:szCs w:val="22"/>
        </w:rPr>
        <w:t>Riferimenti:</w:t>
      </w:r>
    </w:p>
    <w:p w14:paraId="6B7FC09A" w14:textId="0C3586A2" w:rsidR="008009D5" w:rsidRPr="001A46F2"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1A46F2">
        <w:rPr>
          <w:rFonts w:ascii="Calibri" w:hAnsi="Calibri" w:cs="Calibri"/>
          <w:sz w:val="22"/>
          <w:szCs w:val="22"/>
        </w:rPr>
        <w:t>Area Economia di Impresa</w:t>
      </w:r>
    </w:p>
    <w:p w14:paraId="1F0CCBFC" w14:textId="182D3D4E"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Alessandro Castagnino Tel. 075 5820230 – Cell. 335 7175365 </w:t>
      </w:r>
    </w:p>
    <w:p w14:paraId="48FA35B9"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lang w:val="en-US"/>
        </w:rPr>
      </w:pPr>
      <w:r w:rsidRPr="00A82347">
        <w:rPr>
          <w:rFonts w:ascii="Calibri" w:hAnsi="Calibri" w:cs="Calibri"/>
          <w:sz w:val="22"/>
          <w:szCs w:val="22"/>
          <w:lang w:val="en-US"/>
        </w:rPr>
        <w:t xml:space="preserve">Email: </w:t>
      </w:r>
      <w:hyperlink r:id="rId8" w:history="1">
        <w:r w:rsidRPr="00A82347">
          <w:rPr>
            <w:rFonts w:ascii="Calibri" w:hAnsi="Calibri" w:cs="Calibri"/>
            <w:color w:val="0000FF"/>
            <w:sz w:val="22"/>
            <w:szCs w:val="22"/>
            <w:u w:val="single"/>
            <w:lang w:val="en-US"/>
          </w:rPr>
          <w:t>castagnino@confindustria.umbria.it</w:t>
        </w:r>
      </w:hyperlink>
      <w:r w:rsidRPr="00A82347">
        <w:rPr>
          <w:rFonts w:ascii="Calibri" w:hAnsi="Calibri" w:cs="Calibri"/>
          <w:sz w:val="22"/>
          <w:szCs w:val="22"/>
          <w:lang w:val="en-US"/>
        </w:rPr>
        <w:br/>
      </w:r>
    </w:p>
    <w:p w14:paraId="41EBD65E"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Valentina Vignaroli Tel. 075 5820209 – Cell. 338 6493886  </w:t>
      </w:r>
    </w:p>
    <w:p w14:paraId="0F8BBE07" w14:textId="77777777" w:rsidR="008009D5" w:rsidRPr="006F103B"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6F103B">
        <w:rPr>
          <w:rFonts w:ascii="Calibri" w:hAnsi="Calibri" w:cs="Calibri"/>
          <w:sz w:val="22"/>
          <w:szCs w:val="22"/>
        </w:rPr>
        <w:t xml:space="preserve">Email: </w:t>
      </w:r>
      <w:hyperlink r:id="rId9" w:history="1">
        <w:r w:rsidRPr="006F103B">
          <w:rPr>
            <w:rFonts w:ascii="Calibri" w:hAnsi="Calibri" w:cs="Calibri"/>
            <w:color w:val="0000FF"/>
            <w:sz w:val="22"/>
            <w:szCs w:val="22"/>
            <w:u w:val="single"/>
          </w:rPr>
          <w:t>vignaroli@confindustria.umbria.it</w:t>
        </w:r>
      </w:hyperlink>
      <w:r w:rsidRPr="006F103B">
        <w:rPr>
          <w:rFonts w:ascii="Calibri" w:hAnsi="Calibri" w:cs="Calibri"/>
          <w:sz w:val="22"/>
          <w:szCs w:val="22"/>
        </w:rPr>
        <w:br/>
      </w:r>
    </w:p>
    <w:p w14:paraId="7F05B8E7"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Paola Roscini Tel. 075 5820220 – Cell. 329 9261061 </w:t>
      </w:r>
    </w:p>
    <w:p w14:paraId="1993761F"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Email: </w:t>
      </w:r>
      <w:hyperlink r:id="rId10" w:history="1">
        <w:r w:rsidRPr="00A82347">
          <w:rPr>
            <w:rFonts w:ascii="Calibri" w:hAnsi="Calibri" w:cs="Calibri"/>
            <w:color w:val="0000FF"/>
            <w:sz w:val="22"/>
            <w:szCs w:val="22"/>
            <w:u w:val="single"/>
          </w:rPr>
          <w:t>roscini@confindustria.umbria.it</w:t>
        </w:r>
      </w:hyperlink>
    </w:p>
    <w:p w14:paraId="389CE1E4" w14:textId="77777777" w:rsidR="005A6420" w:rsidRPr="00777439" w:rsidRDefault="005A6420" w:rsidP="008009D5">
      <w:pPr>
        <w:tabs>
          <w:tab w:val="left" w:pos="720"/>
          <w:tab w:val="left" w:pos="900"/>
          <w:tab w:val="left" w:pos="1260"/>
          <w:tab w:val="left" w:pos="5580"/>
          <w:tab w:val="left" w:pos="6120"/>
        </w:tabs>
        <w:ind w:right="-2"/>
        <w:jc w:val="both"/>
        <w:rPr>
          <w:rFonts w:ascii="Calibri" w:hAnsi="Calibri" w:cs="Calibri"/>
          <w:sz w:val="22"/>
          <w:szCs w:val="22"/>
        </w:rPr>
      </w:pPr>
    </w:p>
    <w:p w14:paraId="310C91E3" w14:textId="77777777" w:rsidR="0091416E" w:rsidRPr="00777439" w:rsidRDefault="0091416E"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4A457965" w14:textId="40E0A07B" w:rsidR="00134010" w:rsidRPr="00777439" w:rsidRDefault="0013401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04797544" w14:textId="77777777" w:rsidR="00F33005" w:rsidRPr="00777439" w:rsidRDefault="00F33005"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7FBCA73E" w14:textId="343EE07A" w:rsidR="00783E6E" w:rsidRPr="00777439" w:rsidRDefault="00952E48" w:rsidP="000A4D82">
      <w:pPr>
        <w:tabs>
          <w:tab w:val="left" w:pos="720"/>
          <w:tab w:val="left" w:pos="900"/>
          <w:tab w:val="left" w:pos="1260"/>
          <w:tab w:val="left" w:pos="5580"/>
          <w:tab w:val="left" w:pos="6120"/>
        </w:tabs>
        <w:ind w:right="-2"/>
        <w:jc w:val="right"/>
        <w:rPr>
          <w:rFonts w:ascii="Calibri" w:hAnsi="Calibri" w:cs="Calibri"/>
          <w:sz w:val="22"/>
          <w:szCs w:val="22"/>
        </w:rPr>
      </w:pPr>
      <w:r w:rsidRPr="00A00EBE">
        <w:rPr>
          <w:rFonts w:ascii="Calibri" w:hAnsi="Calibri" w:cs="Calibri"/>
          <w:sz w:val="22"/>
          <w:szCs w:val="22"/>
        </w:rPr>
        <w:t xml:space="preserve">Pubblicato il </w:t>
      </w:r>
      <w:r w:rsidR="007405DF">
        <w:rPr>
          <w:rFonts w:ascii="Calibri" w:hAnsi="Calibri" w:cs="Calibri"/>
          <w:sz w:val="22"/>
          <w:szCs w:val="22"/>
        </w:rPr>
        <w:t>0</w:t>
      </w:r>
      <w:r w:rsidR="00562252">
        <w:rPr>
          <w:rFonts w:ascii="Calibri" w:hAnsi="Calibri" w:cs="Calibri"/>
          <w:sz w:val="22"/>
          <w:szCs w:val="22"/>
        </w:rPr>
        <w:t>4</w:t>
      </w:r>
      <w:r w:rsidR="00A66B46" w:rsidRPr="00A00EBE">
        <w:rPr>
          <w:rFonts w:ascii="Calibri" w:hAnsi="Calibri" w:cs="Calibri"/>
          <w:sz w:val="22"/>
          <w:szCs w:val="22"/>
        </w:rPr>
        <w:t>/0</w:t>
      </w:r>
      <w:r w:rsidR="007405DF">
        <w:rPr>
          <w:rFonts w:ascii="Calibri" w:hAnsi="Calibri" w:cs="Calibri"/>
          <w:sz w:val="22"/>
          <w:szCs w:val="22"/>
        </w:rPr>
        <w:t>8</w:t>
      </w:r>
      <w:r w:rsidR="00A66B46" w:rsidRPr="00A00EBE">
        <w:rPr>
          <w:rFonts w:ascii="Calibri" w:hAnsi="Calibri" w:cs="Calibri"/>
          <w:sz w:val="22"/>
          <w:szCs w:val="22"/>
        </w:rPr>
        <w:t>/2020</w:t>
      </w:r>
    </w:p>
    <w:sectPr w:rsidR="00783E6E" w:rsidRPr="00777439" w:rsidSect="004E62C8">
      <w:headerReference w:type="first" r:id="rId11"/>
      <w:footerReference w:type="first" r:id="rId12"/>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5906B" w14:textId="77777777" w:rsidR="00D04B92" w:rsidRDefault="00D04B92">
      <w:r>
        <w:separator/>
      </w:r>
    </w:p>
  </w:endnote>
  <w:endnote w:type="continuationSeparator" w:id="0">
    <w:p w14:paraId="38D5D1C5" w14:textId="77777777" w:rsidR="00D04B92" w:rsidRDefault="00D0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297B9" w14:textId="77777777" w:rsidR="00D04B92" w:rsidRDefault="00D04B92">
      <w:r>
        <w:separator/>
      </w:r>
    </w:p>
  </w:footnote>
  <w:footnote w:type="continuationSeparator" w:id="0">
    <w:p w14:paraId="5AAD74EF" w14:textId="77777777" w:rsidR="00D04B92" w:rsidRDefault="00D0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77777777" w:rsidR="001867E9" w:rsidRDefault="00D04B92">
          <w:pPr>
            <w:tabs>
              <w:tab w:val="left" w:pos="720"/>
              <w:tab w:val="left" w:pos="900"/>
              <w:tab w:val="left" w:pos="1260"/>
              <w:tab w:val="left" w:pos="1980"/>
            </w:tabs>
          </w:pPr>
          <w:r>
            <w:rPr>
              <w:noProof/>
              <w:color w:val="205394"/>
            </w:rPr>
            <w:pict w14:anchorId="6656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acquila" style="width:41.25pt;height:39pt;visibility:visible">
                <v:imagedata r:id="rId1" o:title="acquila"/>
              </v:shape>
            </w:pict>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22F"/>
    <w:multiLevelType w:val="multilevel"/>
    <w:tmpl w:val="F5289C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37EC"/>
    <w:multiLevelType w:val="multilevel"/>
    <w:tmpl w:val="9B6AAF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628C"/>
    <w:multiLevelType w:val="multilevel"/>
    <w:tmpl w:val="A12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A1FFA"/>
    <w:multiLevelType w:val="multilevel"/>
    <w:tmpl w:val="D16220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95D8C"/>
    <w:multiLevelType w:val="multilevel"/>
    <w:tmpl w:val="319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41F5C"/>
    <w:multiLevelType w:val="multilevel"/>
    <w:tmpl w:val="9820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4E2F30"/>
    <w:multiLevelType w:val="hybridMultilevel"/>
    <w:tmpl w:val="882EB2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1C7BD3"/>
    <w:multiLevelType w:val="hybridMultilevel"/>
    <w:tmpl w:val="2520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D0245"/>
    <w:multiLevelType w:val="hybridMultilevel"/>
    <w:tmpl w:val="EF60F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A26FE0"/>
    <w:multiLevelType w:val="hybridMultilevel"/>
    <w:tmpl w:val="46E2C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286ABE"/>
    <w:multiLevelType w:val="multilevel"/>
    <w:tmpl w:val="95F2D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7B051BA"/>
    <w:multiLevelType w:val="hybridMultilevel"/>
    <w:tmpl w:val="E00A6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B50C56"/>
    <w:multiLevelType w:val="hybridMultilevel"/>
    <w:tmpl w:val="DF544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4236F8"/>
    <w:multiLevelType w:val="multilevel"/>
    <w:tmpl w:val="23C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93CB0"/>
    <w:multiLevelType w:val="hybridMultilevel"/>
    <w:tmpl w:val="B2BA0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7A75AC"/>
    <w:multiLevelType w:val="hybridMultilevel"/>
    <w:tmpl w:val="5FB8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676A20"/>
    <w:multiLevelType w:val="hybridMultilevel"/>
    <w:tmpl w:val="2C5C0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DC77EF"/>
    <w:multiLevelType w:val="hybridMultilevel"/>
    <w:tmpl w:val="723A8E36"/>
    <w:lvl w:ilvl="0" w:tplc="DB641552">
      <w:numFmt w:val="bullet"/>
      <w:lvlText w:val="-"/>
      <w:lvlJc w:val="left"/>
      <w:pPr>
        <w:ind w:left="405" w:hanging="360"/>
      </w:pPr>
      <w:rPr>
        <w:rFonts w:ascii="Calibri" w:eastAsia="Calibri" w:hAnsi="Calibri" w:cs="Times New Roman" w:hint="default"/>
        <w:b w:val="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8" w15:restartNumberingAfterBreak="0">
    <w:nsid w:val="37061663"/>
    <w:multiLevelType w:val="multilevel"/>
    <w:tmpl w:val="F5D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B4882"/>
    <w:multiLevelType w:val="multilevel"/>
    <w:tmpl w:val="AD82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9F3522"/>
    <w:multiLevelType w:val="hybridMultilevel"/>
    <w:tmpl w:val="3B7ED684"/>
    <w:lvl w:ilvl="0" w:tplc="2CD8A1B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6C74DE"/>
    <w:multiLevelType w:val="multilevel"/>
    <w:tmpl w:val="596E4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294674"/>
    <w:multiLevelType w:val="multilevel"/>
    <w:tmpl w:val="103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FB059B"/>
    <w:multiLevelType w:val="multilevel"/>
    <w:tmpl w:val="7E78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A3324E"/>
    <w:multiLevelType w:val="hybridMultilevel"/>
    <w:tmpl w:val="7996F344"/>
    <w:lvl w:ilvl="0" w:tplc="7FB239F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6B225A"/>
    <w:multiLevelType w:val="hybridMultilevel"/>
    <w:tmpl w:val="00228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3F733E"/>
    <w:multiLevelType w:val="hybridMultilevel"/>
    <w:tmpl w:val="1B84E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BD759B1"/>
    <w:multiLevelType w:val="hybridMultilevel"/>
    <w:tmpl w:val="6A8E69E8"/>
    <w:lvl w:ilvl="0" w:tplc="2F3A281E">
      <w:start w:val="3"/>
      <w:numFmt w:val="bullet"/>
      <w:lvlText w:val="-"/>
      <w:lvlJc w:val="left"/>
      <w:pPr>
        <w:ind w:left="720" w:hanging="360"/>
      </w:pPr>
      <w:rPr>
        <w:rFonts w:ascii="Calibri Light" w:eastAsia="Times New Roman" w:hAnsi="Calibri Light" w:cs="Calibr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786270C"/>
    <w:multiLevelType w:val="hybridMultilevel"/>
    <w:tmpl w:val="DC54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A130918"/>
    <w:multiLevelType w:val="hybridMultilevel"/>
    <w:tmpl w:val="1692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EE37CF"/>
    <w:multiLevelType w:val="hybridMultilevel"/>
    <w:tmpl w:val="59C6641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31" w15:restartNumberingAfterBreak="0">
    <w:nsid w:val="7F5068F5"/>
    <w:multiLevelType w:val="hybridMultilevel"/>
    <w:tmpl w:val="D092FEF2"/>
    <w:lvl w:ilvl="0" w:tplc="EC980EE6">
      <w:start w:val="3"/>
      <w:numFmt w:val="bullet"/>
      <w:lvlText w:val="-"/>
      <w:lvlJc w:val="left"/>
      <w:pPr>
        <w:ind w:left="720" w:hanging="360"/>
      </w:pPr>
      <w:rPr>
        <w:rFonts w:ascii="Calibri Light" w:eastAsia="Calibri" w:hAnsi="Calibri Ligh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1"/>
  </w:num>
  <w:num w:numId="4">
    <w:abstractNumId w:val="11"/>
  </w:num>
  <w:num w:numId="5">
    <w:abstractNumId w:val="2"/>
  </w:num>
  <w:num w:numId="6">
    <w:abstractNumId w:val="12"/>
  </w:num>
  <w:num w:numId="7">
    <w:abstractNumId w:val="15"/>
  </w:num>
  <w:num w:numId="8">
    <w:abstractNumId w:val="25"/>
  </w:num>
  <w:num w:numId="9">
    <w:abstractNumId w:val="29"/>
  </w:num>
  <w:num w:numId="10">
    <w:abstractNumId w:val="24"/>
  </w:num>
  <w:num w:numId="11">
    <w:abstractNumId w:val="13"/>
  </w:num>
  <w:num w:numId="12">
    <w:abstractNumId w:val="22"/>
  </w:num>
  <w:num w:numId="13">
    <w:abstractNumId w:val="5"/>
  </w:num>
  <w:num w:numId="14">
    <w:abstractNumId w:val="10"/>
  </w:num>
  <w:num w:numId="15">
    <w:abstractNumId w:val="0"/>
  </w:num>
  <w:num w:numId="16">
    <w:abstractNumId w:val="3"/>
  </w:num>
  <w:num w:numId="17">
    <w:abstractNumId w:val="17"/>
  </w:num>
  <w:num w:numId="18">
    <w:abstractNumId w:val="1"/>
  </w:num>
  <w:num w:numId="19">
    <w:abstractNumId w:val="26"/>
  </w:num>
  <w:num w:numId="20">
    <w:abstractNumId w:val="18"/>
  </w:num>
  <w:num w:numId="21">
    <w:abstractNumId w:val="7"/>
  </w:num>
  <w:num w:numId="22">
    <w:abstractNumId w:val="28"/>
  </w:num>
  <w:num w:numId="23">
    <w:abstractNumId w:val="14"/>
  </w:num>
  <w:num w:numId="24">
    <w:abstractNumId w:val="8"/>
  </w:num>
  <w:num w:numId="25">
    <w:abstractNumId w:val="4"/>
  </w:num>
  <w:num w:numId="26">
    <w:abstractNumId w:val="6"/>
  </w:num>
  <w:num w:numId="27">
    <w:abstractNumId w:val="27"/>
  </w:num>
  <w:num w:numId="28">
    <w:abstractNumId w:val="23"/>
  </w:num>
  <w:num w:numId="29">
    <w:abstractNumId w:val="9"/>
  </w:num>
  <w:num w:numId="30">
    <w:abstractNumId w:val="30"/>
  </w:num>
  <w:num w:numId="31">
    <w:abstractNumId w:val="19"/>
  </w:num>
  <w:num w:numId="32">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418"/>
    <w:rsid w:val="000013D4"/>
    <w:rsid w:val="000018C4"/>
    <w:rsid w:val="00002340"/>
    <w:rsid w:val="00010B0E"/>
    <w:rsid w:val="00010EAC"/>
    <w:rsid w:val="00012716"/>
    <w:rsid w:val="000143BB"/>
    <w:rsid w:val="00014CFE"/>
    <w:rsid w:val="00030A72"/>
    <w:rsid w:val="000369D4"/>
    <w:rsid w:val="00037418"/>
    <w:rsid w:val="00040CFB"/>
    <w:rsid w:val="0004674A"/>
    <w:rsid w:val="00052071"/>
    <w:rsid w:val="000539CB"/>
    <w:rsid w:val="00053A2C"/>
    <w:rsid w:val="000604EE"/>
    <w:rsid w:val="000614F9"/>
    <w:rsid w:val="000625BE"/>
    <w:rsid w:val="000637F2"/>
    <w:rsid w:val="00080ADD"/>
    <w:rsid w:val="00084DD6"/>
    <w:rsid w:val="00086200"/>
    <w:rsid w:val="00087150"/>
    <w:rsid w:val="00090452"/>
    <w:rsid w:val="0009085F"/>
    <w:rsid w:val="00091677"/>
    <w:rsid w:val="00094BA5"/>
    <w:rsid w:val="000969C3"/>
    <w:rsid w:val="000A323E"/>
    <w:rsid w:val="000A39AE"/>
    <w:rsid w:val="000A4D82"/>
    <w:rsid w:val="000B06C6"/>
    <w:rsid w:val="000B0E2B"/>
    <w:rsid w:val="000B2103"/>
    <w:rsid w:val="000B75FE"/>
    <w:rsid w:val="000B7F4A"/>
    <w:rsid w:val="000C53BB"/>
    <w:rsid w:val="000C6553"/>
    <w:rsid w:val="000D0123"/>
    <w:rsid w:val="000D36C6"/>
    <w:rsid w:val="000D4668"/>
    <w:rsid w:val="000D4ADA"/>
    <w:rsid w:val="000E38C9"/>
    <w:rsid w:val="000E5391"/>
    <w:rsid w:val="000E6DB1"/>
    <w:rsid w:val="000F19AF"/>
    <w:rsid w:val="00100C48"/>
    <w:rsid w:val="00103B58"/>
    <w:rsid w:val="0010566D"/>
    <w:rsid w:val="00126D4F"/>
    <w:rsid w:val="001311CA"/>
    <w:rsid w:val="00134010"/>
    <w:rsid w:val="00136808"/>
    <w:rsid w:val="00151B1D"/>
    <w:rsid w:val="00151BDD"/>
    <w:rsid w:val="00160F19"/>
    <w:rsid w:val="00162768"/>
    <w:rsid w:val="001674E2"/>
    <w:rsid w:val="00172666"/>
    <w:rsid w:val="00181F9E"/>
    <w:rsid w:val="001867E9"/>
    <w:rsid w:val="001A0EA6"/>
    <w:rsid w:val="001A46F2"/>
    <w:rsid w:val="001A61DB"/>
    <w:rsid w:val="001B0373"/>
    <w:rsid w:val="001B1366"/>
    <w:rsid w:val="001C016B"/>
    <w:rsid w:val="001C5C73"/>
    <w:rsid w:val="001D46AD"/>
    <w:rsid w:val="001D783D"/>
    <w:rsid w:val="001D7F3D"/>
    <w:rsid w:val="001E0909"/>
    <w:rsid w:val="001E1A02"/>
    <w:rsid w:val="001E720B"/>
    <w:rsid w:val="001F202A"/>
    <w:rsid w:val="001F3465"/>
    <w:rsid w:val="001F48AB"/>
    <w:rsid w:val="0020292B"/>
    <w:rsid w:val="00206722"/>
    <w:rsid w:val="00210ED4"/>
    <w:rsid w:val="002113BA"/>
    <w:rsid w:val="002166C4"/>
    <w:rsid w:val="00216BD5"/>
    <w:rsid w:val="002216DD"/>
    <w:rsid w:val="0022540F"/>
    <w:rsid w:val="00230989"/>
    <w:rsid w:val="002360B0"/>
    <w:rsid w:val="002375D8"/>
    <w:rsid w:val="00237B46"/>
    <w:rsid w:val="00242295"/>
    <w:rsid w:val="00254095"/>
    <w:rsid w:val="00262647"/>
    <w:rsid w:val="002650B4"/>
    <w:rsid w:val="002655A5"/>
    <w:rsid w:val="00265FD1"/>
    <w:rsid w:val="00267F8E"/>
    <w:rsid w:val="00270D53"/>
    <w:rsid w:val="0027190F"/>
    <w:rsid w:val="00271FB0"/>
    <w:rsid w:val="0027421E"/>
    <w:rsid w:val="002743DA"/>
    <w:rsid w:val="002905C3"/>
    <w:rsid w:val="00293463"/>
    <w:rsid w:val="00297F87"/>
    <w:rsid w:val="002A6DFD"/>
    <w:rsid w:val="002B7EEB"/>
    <w:rsid w:val="002D246E"/>
    <w:rsid w:val="002D2B28"/>
    <w:rsid w:val="002E4047"/>
    <w:rsid w:val="00300CDB"/>
    <w:rsid w:val="00306EA7"/>
    <w:rsid w:val="003114C4"/>
    <w:rsid w:val="00322729"/>
    <w:rsid w:val="00322EE8"/>
    <w:rsid w:val="00326815"/>
    <w:rsid w:val="003347DC"/>
    <w:rsid w:val="003360E9"/>
    <w:rsid w:val="0034265F"/>
    <w:rsid w:val="00350EF3"/>
    <w:rsid w:val="00363BF8"/>
    <w:rsid w:val="003768B3"/>
    <w:rsid w:val="00377E37"/>
    <w:rsid w:val="00385BAE"/>
    <w:rsid w:val="003944BF"/>
    <w:rsid w:val="00395392"/>
    <w:rsid w:val="003A5BAA"/>
    <w:rsid w:val="003A759E"/>
    <w:rsid w:val="003B2134"/>
    <w:rsid w:val="003B6D95"/>
    <w:rsid w:val="003B7ED2"/>
    <w:rsid w:val="003C19FB"/>
    <w:rsid w:val="003E5874"/>
    <w:rsid w:val="003E63C1"/>
    <w:rsid w:val="0041047E"/>
    <w:rsid w:val="0041177C"/>
    <w:rsid w:val="0042052A"/>
    <w:rsid w:val="0042117E"/>
    <w:rsid w:val="004353E3"/>
    <w:rsid w:val="004414A4"/>
    <w:rsid w:val="00442812"/>
    <w:rsid w:val="004435C3"/>
    <w:rsid w:val="00445DF1"/>
    <w:rsid w:val="00454209"/>
    <w:rsid w:val="00461827"/>
    <w:rsid w:val="00465747"/>
    <w:rsid w:val="00466A5F"/>
    <w:rsid w:val="00472D2B"/>
    <w:rsid w:val="00474ADE"/>
    <w:rsid w:val="00481D3A"/>
    <w:rsid w:val="00483E55"/>
    <w:rsid w:val="004963B3"/>
    <w:rsid w:val="004A2213"/>
    <w:rsid w:val="004A43B9"/>
    <w:rsid w:val="004A5095"/>
    <w:rsid w:val="004B0EF1"/>
    <w:rsid w:val="004B5C7B"/>
    <w:rsid w:val="004B691C"/>
    <w:rsid w:val="004C1CE6"/>
    <w:rsid w:val="004C2CC8"/>
    <w:rsid w:val="004D48E8"/>
    <w:rsid w:val="004D4957"/>
    <w:rsid w:val="004E0C94"/>
    <w:rsid w:val="004E62C8"/>
    <w:rsid w:val="004F2D22"/>
    <w:rsid w:val="00517FCD"/>
    <w:rsid w:val="00520F32"/>
    <w:rsid w:val="0053112D"/>
    <w:rsid w:val="00531CA4"/>
    <w:rsid w:val="00532215"/>
    <w:rsid w:val="00532542"/>
    <w:rsid w:val="00546306"/>
    <w:rsid w:val="00552D0E"/>
    <w:rsid w:val="005615FE"/>
    <w:rsid w:val="00562252"/>
    <w:rsid w:val="00565BA4"/>
    <w:rsid w:val="00570DF9"/>
    <w:rsid w:val="00571AA5"/>
    <w:rsid w:val="00580D22"/>
    <w:rsid w:val="005952A0"/>
    <w:rsid w:val="005A2227"/>
    <w:rsid w:val="005A2FBD"/>
    <w:rsid w:val="005A6420"/>
    <w:rsid w:val="005A68AC"/>
    <w:rsid w:val="005B68CD"/>
    <w:rsid w:val="005C35FE"/>
    <w:rsid w:val="005C488C"/>
    <w:rsid w:val="005D2783"/>
    <w:rsid w:val="005D3F4A"/>
    <w:rsid w:val="005D58C7"/>
    <w:rsid w:val="005E05F4"/>
    <w:rsid w:val="005E29D1"/>
    <w:rsid w:val="005E2A6A"/>
    <w:rsid w:val="005E5E6F"/>
    <w:rsid w:val="005E694F"/>
    <w:rsid w:val="005F136F"/>
    <w:rsid w:val="00600B26"/>
    <w:rsid w:val="00606C5A"/>
    <w:rsid w:val="0061424A"/>
    <w:rsid w:val="00617528"/>
    <w:rsid w:val="00633A04"/>
    <w:rsid w:val="00635558"/>
    <w:rsid w:val="006370DF"/>
    <w:rsid w:val="006411A6"/>
    <w:rsid w:val="006411DF"/>
    <w:rsid w:val="00642F4B"/>
    <w:rsid w:val="00654840"/>
    <w:rsid w:val="00662EE8"/>
    <w:rsid w:val="00673C44"/>
    <w:rsid w:val="00684F34"/>
    <w:rsid w:val="00686CD4"/>
    <w:rsid w:val="0069445C"/>
    <w:rsid w:val="00696623"/>
    <w:rsid w:val="006A2CD6"/>
    <w:rsid w:val="006B1B06"/>
    <w:rsid w:val="006C0F54"/>
    <w:rsid w:val="006C5530"/>
    <w:rsid w:val="006C6827"/>
    <w:rsid w:val="006D0A9E"/>
    <w:rsid w:val="006D187D"/>
    <w:rsid w:val="006E4E22"/>
    <w:rsid w:val="006E64CC"/>
    <w:rsid w:val="006E71D6"/>
    <w:rsid w:val="006F103B"/>
    <w:rsid w:val="006F3D2C"/>
    <w:rsid w:val="006F4A89"/>
    <w:rsid w:val="007006D5"/>
    <w:rsid w:val="00706997"/>
    <w:rsid w:val="00710780"/>
    <w:rsid w:val="007120A3"/>
    <w:rsid w:val="007212D6"/>
    <w:rsid w:val="00721719"/>
    <w:rsid w:val="007248A8"/>
    <w:rsid w:val="00724906"/>
    <w:rsid w:val="007268E0"/>
    <w:rsid w:val="007278BF"/>
    <w:rsid w:val="00727E86"/>
    <w:rsid w:val="00730857"/>
    <w:rsid w:val="007336E8"/>
    <w:rsid w:val="007405DF"/>
    <w:rsid w:val="00743781"/>
    <w:rsid w:val="00744DE8"/>
    <w:rsid w:val="00747106"/>
    <w:rsid w:val="0075722D"/>
    <w:rsid w:val="00764518"/>
    <w:rsid w:val="00777439"/>
    <w:rsid w:val="00783E6E"/>
    <w:rsid w:val="007846D1"/>
    <w:rsid w:val="007872ED"/>
    <w:rsid w:val="007900D5"/>
    <w:rsid w:val="007911A1"/>
    <w:rsid w:val="00792D99"/>
    <w:rsid w:val="00793849"/>
    <w:rsid w:val="00796CE5"/>
    <w:rsid w:val="007A106A"/>
    <w:rsid w:val="007A4BC4"/>
    <w:rsid w:val="007B0324"/>
    <w:rsid w:val="007B0D7B"/>
    <w:rsid w:val="007B28C2"/>
    <w:rsid w:val="007B4F16"/>
    <w:rsid w:val="007B72D4"/>
    <w:rsid w:val="007B7550"/>
    <w:rsid w:val="007C1279"/>
    <w:rsid w:val="007D0756"/>
    <w:rsid w:val="007D102D"/>
    <w:rsid w:val="007D346E"/>
    <w:rsid w:val="007E02A8"/>
    <w:rsid w:val="007E1CB1"/>
    <w:rsid w:val="007E52F6"/>
    <w:rsid w:val="007E7A85"/>
    <w:rsid w:val="007F1200"/>
    <w:rsid w:val="007F283D"/>
    <w:rsid w:val="007F7D2A"/>
    <w:rsid w:val="008009D5"/>
    <w:rsid w:val="00801AE3"/>
    <w:rsid w:val="0080382C"/>
    <w:rsid w:val="008050CE"/>
    <w:rsid w:val="00812C76"/>
    <w:rsid w:val="00814B6A"/>
    <w:rsid w:val="0082055D"/>
    <w:rsid w:val="00827AA4"/>
    <w:rsid w:val="0083206A"/>
    <w:rsid w:val="008324D4"/>
    <w:rsid w:val="00842CAC"/>
    <w:rsid w:val="00846546"/>
    <w:rsid w:val="0089242A"/>
    <w:rsid w:val="00895D5A"/>
    <w:rsid w:val="008A68D2"/>
    <w:rsid w:val="008B5620"/>
    <w:rsid w:val="008C1727"/>
    <w:rsid w:val="008C21F3"/>
    <w:rsid w:val="008C6FB9"/>
    <w:rsid w:val="008D047B"/>
    <w:rsid w:val="008D2D79"/>
    <w:rsid w:val="008E4D83"/>
    <w:rsid w:val="008F7F38"/>
    <w:rsid w:val="0091416E"/>
    <w:rsid w:val="009218B7"/>
    <w:rsid w:val="0092313F"/>
    <w:rsid w:val="00924F70"/>
    <w:rsid w:val="009259DA"/>
    <w:rsid w:val="00930421"/>
    <w:rsid w:val="00933A9A"/>
    <w:rsid w:val="00935FD9"/>
    <w:rsid w:val="00936AC3"/>
    <w:rsid w:val="009439A2"/>
    <w:rsid w:val="00943AF3"/>
    <w:rsid w:val="00947B49"/>
    <w:rsid w:val="00951362"/>
    <w:rsid w:val="00952E48"/>
    <w:rsid w:val="0095764F"/>
    <w:rsid w:val="00962B81"/>
    <w:rsid w:val="00964D43"/>
    <w:rsid w:val="0096617B"/>
    <w:rsid w:val="00972881"/>
    <w:rsid w:val="00994DE8"/>
    <w:rsid w:val="009A181B"/>
    <w:rsid w:val="009A600B"/>
    <w:rsid w:val="009B370B"/>
    <w:rsid w:val="009B6DA0"/>
    <w:rsid w:val="009B7F38"/>
    <w:rsid w:val="009C5511"/>
    <w:rsid w:val="009C66FF"/>
    <w:rsid w:val="009D0AE2"/>
    <w:rsid w:val="009D26C3"/>
    <w:rsid w:val="009D42AF"/>
    <w:rsid w:val="009E0FC5"/>
    <w:rsid w:val="009E313A"/>
    <w:rsid w:val="009E718E"/>
    <w:rsid w:val="009F00C9"/>
    <w:rsid w:val="009F30D5"/>
    <w:rsid w:val="009F6C25"/>
    <w:rsid w:val="009F77CF"/>
    <w:rsid w:val="00A00CC0"/>
    <w:rsid w:val="00A00EBE"/>
    <w:rsid w:val="00A02167"/>
    <w:rsid w:val="00A029CB"/>
    <w:rsid w:val="00A029FA"/>
    <w:rsid w:val="00A100C9"/>
    <w:rsid w:val="00A108C5"/>
    <w:rsid w:val="00A12007"/>
    <w:rsid w:val="00A2160D"/>
    <w:rsid w:val="00A238E8"/>
    <w:rsid w:val="00A24ACC"/>
    <w:rsid w:val="00A27F82"/>
    <w:rsid w:val="00A35E9C"/>
    <w:rsid w:val="00A421FD"/>
    <w:rsid w:val="00A554C8"/>
    <w:rsid w:val="00A5706E"/>
    <w:rsid w:val="00A60F3E"/>
    <w:rsid w:val="00A65A7B"/>
    <w:rsid w:val="00A66073"/>
    <w:rsid w:val="00A66B46"/>
    <w:rsid w:val="00A72245"/>
    <w:rsid w:val="00A7325D"/>
    <w:rsid w:val="00A874BE"/>
    <w:rsid w:val="00A92403"/>
    <w:rsid w:val="00A94F5D"/>
    <w:rsid w:val="00AA3206"/>
    <w:rsid w:val="00AA755B"/>
    <w:rsid w:val="00AA7A03"/>
    <w:rsid w:val="00AB5961"/>
    <w:rsid w:val="00AC09F6"/>
    <w:rsid w:val="00AC0DA4"/>
    <w:rsid w:val="00AC1A58"/>
    <w:rsid w:val="00AC363E"/>
    <w:rsid w:val="00AC7651"/>
    <w:rsid w:val="00AD53C0"/>
    <w:rsid w:val="00AD6736"/>
    <w:rsid w:val="00AE3B49"/>
    <w:rsid w:val="00AE4116"/>
    <w:rsid w:val="00AE4612"/>
    <w:rsid w:val="00AE484B"/>
    <w:rsid w:val="00AE7C4C"/>
    <w:rsid w:val="00AF1207"/>
    <w:rsid w:val="00AF303A"/>
    <w:rsid w:val="00AF4404"/>
    <w:rsid w:val="00AF4D79"/>
    <w:rsid w:val="00AF6300"/>
    <w:rsid w:val="00B00A2F"/>
    <w:rsid w:val="00B1385A"/>
    <w:rsid w:val="00B20995"/>
    <w:rsid w:val="00B27B4F"/>
    <w:rsid w:val="00B27DA0"/>
    <w:rsid w:val="00B34B96"/>
    <w:rsid w:val="00B44EC6"/>
    <w:rsid w:val="00B55997"/>
    <w:rsid w:val="00B56F41"/>
    <w:rsid w:val="00B74B3D"/>
    <w:rsid w:val="00B90950"/>
    <w:rsid w:val="00B954F6"/>
    <w:rsid w:val="00B9787B"/>
    <w:rsid w:val="00B97A78"/>
    <w:rsid w:val="00BA3F4B"/>
    <w:rsid w:val="00BA6BD6"/>
    <w:rsid w:val="00BA7B76"/>
    <w:rsid w:val="00BB7D4D"/>
    <w:rsid w:val="00BB7D99"/>
    <w:rsid w:val="00BC0691"/>
    <w:rsid w:val="00BC32D4"/>
    <w:rsid w:val="00BC4801"/>
    <w:rsid w:val="00BC5242"/>
    <w:rsid w:val="00BD0AB9"/>
    <w:rsid w:val="00BD3C2C"/>
    <w:rsid w:val="00BD60DB"/>
    <w:rsid w:val="00BE3C2A"/>
    <w:rsid w:val="00BF5417"/>
    <w:rsid w:val="00C10A7A"/>
    <w:rsid w:val="00C13B4C"/>
    <w:rsid w:val="00C24A9A"/>
    <w:rsid w:val="00C27714"/>
    <w:rsid w:val="00C3700B"/>
    <w:rsid w:val="00C433AC"/>
    <w:rsid w:val="00C46AA6"/>
    <w:rsid w:val="00C6046C"/>
    <w:rsid w:val="00C61BFC"/>
    <w:rsid w:val="00C6483F"/>
    <w:rsid w:val="00C7079A"/>
    <w:rsid w:val="00C82C7A"/>
    <w:rsid w:val="00C92C40"/>
    <w:rsid w:val="00C93D89"/>
    <w:rsid w:val="00C96C69"/>
    <w:rsid w:val="00CA1FD0"/>
    <w:rsid w:val="00CA32BA"/>
    <w:rsid w:val="00CA5FB4"/>
    <w:rsid w:val="00CA677D"/>
    <w:rsid w:val="00CB0B8E"/>
    <w:rsid w:val="00CB1898"/>
    <w:rsid w:val="00CB302D"/>
    <w:rsid w:val="00CC42BA"/>
    <w:rsid w:val="00CC5C44"/>
    <w:rsid w:val="00CD2F0A"/>
    <w:rsid w:val="00CD4A8E"/>
    <w:rsid w:val="00CF2B9F"/>
    <w:rsid w:val="00D04B92"/>
    <w:rsid w:val="00D05B8F"/>
    <w:rsid w:val="00D06063"/>
    <w:rsid w:val="00D102CD"/>
    <w:rsid w:val="00D12686"/>
    <w:rsid w:val="00D12E1E"/>
    <w:rsid w:val="00D13CAB"/>
    <w:rsid w:val="00D21307"/>
    <w:rsid w:val="00D2250C"/>
    <w:rsid w:val="00D24A1C"/>
    <w:rsid w:val="00D25CF8"/>
    <w:rsid w:val="00D27A1C"/>
    <w:rsid w:val="00D30E39"/>
    <w:rsid w:val="00D327D9"/>
    <w:rsid w:val="00D32FC7"/>
    <w:rsid w:val="00D35077"/>
    <w:rsid w:val="00D403FB"/>
    <w:rsid w:val="00D44C59"/>
    <w:rsid w:val="00D44D11"/>
    <w:rsid w:val="00D46D8F"/>
    <w:rsid w:val="00D50F2A"/>
    <w:rsid w:val="00D54D0D"/>
    <w:rsid w:val="00D551CF"/>
    <w:rsid w:val="00D66BBB"/>
    <w:rsid w:val="00D70745"/>
    <w:rsid w:val="00D71FF5"/>
    <w:rsid w:val="00D74092"/>
    <w:rsid w:val="00D77E54"/>
    <w:rsid w:val="00DA26BC"/>
    <w:rsid w:val="00DA4273"/>
    <w:rsid w:val="00DA5995"/>
    <w:rsid w:val="00DB3985"/>
    <w:rsid w:val="00DB4953"/>
    <w:rsid w:val="00DC0ED4"/>
    <w:rsid w:val="00DC7F97"/>
    <w:rsid w:val="00DD019F"/>
    <w:rsid w:val="00DE72E8"/>
    <w:rsid w:val="00DF5163"/>
    <w:rsid w:val="00DF7579"/>
    <w:rsid w:val="00E00F2C"/>
    <w:rsid w:val="00E07BDC"/>
    <w:rsid w:val="00E15415"/>
    <w:rsid w:val="00E20570"/>
    <w:rsid w:val="00E209CB"/>
    <w:rsid w:val="00E25D34"/>
    <w:rsid w:val="00E273B4"/>
    <w:rsid w:val="00E31E8B"/>
    <w:rsid w:val="00E36D39"/>
    <w:rsid w:val="00E44B8E"/>
    <w:rsid w:val="00E47D5B"/>
    <w:rsid w:val="00E5260E"/>
    <w:rsid w:val="00E56C4C"/>
    <w:rsid w:val="00E71549"/>
    <w:rsid w:val="00E71CEB"/>
    <w:rsid w:val="00E74979"/>
    <w:rsid w:val="00E8356D"/>
    <w:rsid w:val="00E906B5"/>
    <w:rsid w:val="00E909DF"/>
    <w:rsid w:val="00EA4465"/>
    <w:rsid w:val="00EA5B17"/>
    <w:rsid w:val="00EB1B2C"/>
    <w:rsid w:val="00EB5F34"/>
    <w:rsid w:val="00EB6196"/>
    <w:rsid w:val="00EC0D5D"/>
    <w:rsid w:val="00EC1013"/>
    <w:rsid w:val="00EC3D1F"/>
    <w:rsid w:val="00ED1726"/>
    <w:rsid w:val="00ED2018"/>
    <w:rsid w:val="00ED2B9F"/>
    <w:rsid w:val="00ED6E2C"/>
    <w:rsid w:val="00ED7B1E"/>
    <w:rsid w:val="00EE18FB"/>
    <w:rsid w:val="00EE4876"/>
    <w:rsid w:val="00EE4CEA"/>
    <w:rsid w:val="00EF69AE"/>
    <w:rsid w:val="00F0608B"/>
    <w:rsid w:val="00F120FE"/>
    <w:rsid w:val="00F15475"/>
    <w:rsid w:val="00F169DE"/>
    <w:rsid w:val="00F23D65"/>
    <w:rsid w:val="00F31A89"/>
    <w:rsid w:val="00F32A75"/>
    <w:rsid w:val="00F33005"/>
    <w:rsid w:val="00F34EA1"/>
    <w:rsid w:val="00F4051C"/>
    <w:rsid w:val="00F4172D"/>
    <w:rsid w:val="00F4663F"/>
    <w:rsid w:val="00F51DA0"/>
    <w:rsid w:val="00F52882"/>
    <w:rsid w:val="00F53831"/>
    <w:rsid w:val="00F53938"/>
    <w:rsid w:val="00F53F66"/>
    <w:rsid w:val="00F60480"/>
    <w:rsid w:val="00F623AC"/>
    <w:rsid w:val="00F718A4"/>
    <w:rsid w:val="00F804E0"/>
    <w:rsid w:val="00F80976"/>
    <w:rsid w:val="00F81262"/>
    <w:rsid w:val="00F81771"/>
    <w:rsid w:val="00F9163B"/>
    <w:rsid w:val="00F920E8"/>
    <w:rsid w:val="00F94CCF"/>
    <w:rsid w:val="00FA4B03"/>
    <w:rsid w:val="00FA52B2"/>
    <w:rsid w:val="00FC5166"/>
    <w:rsid w:val="00FC53D5"/>
    <w:rsid w:val="00FC6664"/>
    <w:rsid w:val="00FC7F5F"/>
    <w:rsid w:val="00FD401E"/>
    <w:rsid w:val="00FD4772"/>
    <w:rsid w:val="00FD789D"/>
    <w:rsid w:val="00FE3CA4"/>
    <w:rsid w:val="00FE5704"/>
    <w:rsid w:val="00FF0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 w:type="character" w:styleId="Collegamentovisitato">
    <w:name w:val="FollowedHyperlink"/>
    <w:semiHidden/>
    <w:unhideWhenUsed/>
    <w:rsid w:val="00E07BDC"/>
    <w:rPr>
      <w:color w:val="954F72"/>
      <w:u w:val="single"/>
    </w:rPr>
  </w:style>
  <w:style w:type="character" w:customStyle="1" w:styleId="apple-converted-space">
    <w:name w:val="apple-converted-space"/>
    <w:rsid w:val="0081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144857914">
      <w:bodyDiv w:val="1"/>
      <w:marLeft w:val="0"/>
      <w:marRight w:val="0"/>
      <w:marTop w:val="0"/>
      <w:marBottom w:val="0"/>
      <w:divBdr>
        <w:top w:val="none" w:sz="0" w:space="0" w:color="auto"/>
        <w:left w:val="none" w:sz="0" w:space="0" w:color="auto"/>
        <w:bottom w:val="none" w:sz="0" w:space="0" w:color="auto"/>
        <w:right w:val="none" w:sz="0" w:space="0" w:color="auto"/>
      </w:divBdr>
      <w:divsChild>
        <w:div w:id="1471941852">
          <w:marLeft w:val="75"/>
          <w:marRight w:val="75"/>
          <w:marTop w:val="75"/>
          <w:marBottom w:val="75"/>
          <w:divBdr>
            <w:top w:val="none" w:sz="0" w:space="0" w:color="auto"/>
            <w:left w:val="none" w:sz="0" w:space="0" w:color="auto"/>
            <w:bottom w:val="none" w:sz="0" w:space="0" w:color="auto"/>
            <w:right w:val="none" w:sz="0" w:space="0" w:color="auto"/>
          </w:divBdr>
          <w:divsChild>
            <w:div w:id="862203893">
              <w:marLeft w:val="0"/>
              <w:marRight w:val="0"/>
              <w:marTop w:val="0"/>
              <w:marBottom w:val="0"/>
              <w:divBdr>
                <w:top w:val="none" w:sz="0" w:space="0" w:color="auto"/>
                <w:left w:val="none" w:sz="0" w:space="0" w:color="auto"/>
                <w:bottom w:val="none" w:sz="0" w:space="0" w:color="auto"/>
                <w:right w:val="none" w:sz="0" w:space="0" w:color="auto"/>
              </w:divBdr>
              <w:divsChild>
                <w:div w:id="362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29803571">
      <w:bodyDiv w:val="1"/>
      <w:marLeft w:val="0"/>
      <w:marRight w:val="0"/>
      <w:marTop w:val="0"/>
      <w:marBottom w:val="0"/>
      <w:divBdr>
        <w:top w:val="none" w:sz="0" w:space="0" w:color="auto"/>
        <w:left w:val="none" w:sz="0" w:space="0" w:color="auto"/>
        <w:bottom w:val="none" w:sz="0" w:space="0" w:color="auto"/>
        <w:right w:val="none" w:sz="0" w:space="0" w:color="auto"/>
      </w:divBdr>
      <w:divsChild>
        <w:div w:id="1472092269">
          <w:marLeft w:val="0"/>
          <w:marRight w:val="0"/>
          <w:marTop w:val="0"/>
          <w:marBottom w:val="0"/>
          <w:divBdr>
            <w:top w:val="none" w:sz="0" w:space="0" w:color="auto"/>
            <w:left w:val="none" w:sz="0" w:space="0" w:color="auto"/>
            <w:bottom w:val="none" w:sz="0" w:space="0" w:color="auto"/>
            <w:right w:val="none" w:sz="0" w:space="0" w:color="auto"/>
          </w:divBdr>
        </w:div>
      </w:divsChild>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tagnino@confindustria.umbri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enziaentrate.gov.it/portale/documents/20143/2570162/Circolare+plusvalenze+n.+23+del+29+luglio+2020.pdf/6dc89827-b4d9-00bf-be0d-4f9527956b8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oscini@confindustria.umbria.it" TargetMode="External"/><Relationship Id="rId4" Type="http://schemas.openxmlformats.org/officeDocument/2006/relationships/webSettings" Target="webSettings.xml"/><Relationship Id="rId9" Type="http://schemas.openxmlformats.org/officeDocument/2006/relationships/hyperlink" Target="mailto:vignaroli@confindustria.umbri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371</TotalTime>
  <Pages>2</Pages>
  <Words>646</Words>
  <Characters>3684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4322</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Chiara Santilli</cp:lastModifiedBy>
  <cp:revision>72</cp:revision>
  <cp:lastPrinted>2019-02-27T17:41:00Z</cp:lastPrinted>
  <dcterms:created xsi:type="dcterms:W3CDTF">2020-03-10T08:33:00Z</dcterms:created>
  <dcterms:modified xsi:type="dcterms:W3CDTF">2020-08-04T08:17:00Z</dcterms:modified>
</cp:coreProperties>
</file>