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91E768" w14:textId="4153A7A7" w:rsidR="00D21307" w:rsidRDefault="00D04B92" w:rsidP="00D21307">
      <w:pPr>
        <w:autoSpaceDE w:val="0"/>
        <w:autoSpaceDN w:val="0"/>
        <w:adjustRightInd w:val="0"/>
        <w:rPr>
          <w:rFonts w:ascii="Calibri" w:hAnsi="Calibri" w:cs="Calibri"/>
          <w:b/>
          <w:bCs/>
          <w:color w:val="000000"/>
          <w:sz w:val="22"/>
          <w:szCs w:val="22"/>
        </w:rPr>
      </w:pPr>
      <w:r>
        <w:rPr>
          <w:rFonts w:ascii="Calibri" w:hAnsi="Calibri" w:cs="Calibri"/>
          <w:b/>
          <w:bCs/>
          <w:sz w:val="22"/>
          <w:szCs w:val="22"/>
        </w:rPr>
        <w:pict w14:anchorId="036903AB">
          <v:shape id="Segno di sottrazione 5" o:spid="_x0000_s1026" style="position:absolute;margin-left:-73.75pt;margin-top:-24pt;width:599.25pt;height:3.6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10475,457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" path="m1008768,17483r5592939,l6601707,28236r-5592939,l1008768,17483xe" fillcolor="#205394" strokecolor="#385d8a" strokeweight="1pt">
            <v:path arrowok="t" o:connecttype="custom" o:connectlocs="1008768,17483;6601707,17483;6601707,28236;1008768,28236;1008768,17483" o:connectangles="0,0,0,0,0"/>
          </v:shape>
        </w:pict>
      </w:r>
      <w:r w:rsidR="00562252" w:rsidRPr="00562252">
        <w:rPr>
          <w:rFonts w:ascii="Calibri" w:hAnsi="Calibri" w:cs="Calibri"/>
          <w:b/>
          <w:bCs/>
          <w:color w:val="000000"/>
          <w:sz w:val="22"/>
          <w:szCs w:val="22"/>
        </w:rPr>
        <w:t>Cessione di edifici da demolire</w:t>
      </w:r>
      <w:r w:rsidR="00743781">
        <w:rPr>
          <w:rFonts w:ascii="Calibri" w:hAnsi="Calibri" w:cs="Calibri"/>
          <w:b/>
          <w:bCs/>
          <w:color w:val="000000"/>
          <w:sz w:val="22"/>
          <w:szCs w:val="22"/>
        </w:rPr>
        <w:t xml:space="preserve"> e </w:t>
      </w:r>
      <w:r w:rsidR="000B0E2B">
        <w:rPr>
          <w:rFonts w:ascii="Calibri" w:hAnsi="Calibri" w:cs="Calibri"/>
          <w:b/>
          <w:bCs/>
          <w:color w:val="000000"/>
          <w:sz w:val="22"/>
          <w:szCs w:val="22"/>
        </w:rPr>
        <w:t xml:space="preserve">trattamento fiscale delle </w:t>
      </w:r>
      <w:r w:rsidR="00562252">
        <w:rPr>
          <w:rFonts w:ascii="Calibri" w:hAnsi="Calibri" w:cs="Calibri"/>
          <w:b/>
          <w:bCs/>
          <w:color w:val="000000"/>
          <w:sz w:val="22"/>
          <w:szCs w:val="22"/>
        </w:rPr>
        <w:t>p</w:t>
      </w:r>
      <w:r w:rsidR="00562252" w:rsidRPr="00562252">
        <w:rPr>
          <w:rFonts w:ascii="Calibri" w:hAnsi="Calibri" w:cs="Calibri"/>
          <w:b/>
          <w:bCs/>
          <w:color w:val="000000"/>
          <w:sz w:val="22"/>
          <w:szCs w:val="22"/>
        </w:rPr>
        <w:t>lusvalenz</w:t>
      </w:r>
      <w:r w:rsidR="000B0E2B">
        <w:rPr>
          <w:rFonts w:ascii="Calibri" w:hAnsi="Calibri" w:cs="Calibri"/>
          <w:b/>
          <w:bCs/>
          <w:color w:val="000000"/>
          <w:sz w:val="22"/>
          <w:szCs w:val="22"/>
        </w:rPr>
        <w:t>e</w:t>
      </w:r>
    </w:p>
    <w:p w14:paraId="336AC2FC" w14:textId="77777777" w:rsidR="00D21307" w:rsidRDefault="00D21307" w:rsidP="00D21307">
      <w:pPr>
        <w:autoSpaceDE w:val="0"/>
        <w:autoSpaceDN w:val="0"/>
        <w:adjustRightInd w:val="0"/>
        <w:rPr>
          <w:rFonts w:ascii="Calibri" w:hAnsi="Calibri" w:cs="Calibri"/>
          <w:b/>
          <w:bCs/>
          <w:color w:val="000000"/>
          <w:sz w:val="22"/>
          <w:szCs w:val="22"/>
        </w:rPr>
      </w:pPr>
    </w:p>
    <w:p w14:paraId="548562C4" w14:textId="5B340391" w:rsidR="00D44D11" w:rsidRDefault="00562252" w:rsidP="00C3700B">
      <w:pPr>
        <w:rPr>
          <w:rFonts w:ascii="Calibri" w:hAnsi="Calibri" w:cs="Calibri Light"/>
          <w:sz w:val="22"/>
          <w:szCs w:val="22"/>
        </w:rPr>
      </w:pPr>
      <w:bookmarkStart w:id="0" w:name="_Hlk47423732"/>
      <w:r>
        <w:rPr>
          <w:rFonts w:ascii="Calibri" w:hAnsi="Calibri" w:cs="Calibri Light"/>
          <w:sz w:val="22"/>
          <w:szCs w:val="22"/>
        </w:rPr>
        <w:t>Chiarimenti dell’Agenzia delle Entrate</w:t>
      </w:r>
      <w:r w:rsidR="006F103B">
        <w:rPr>
          <w:rFonts w:ascii="Calibri" w:hAnsi="Calibri" w:cs="Calibri Light"/>
          <w:sz w:val="22"/>
          <w:szCs w:val="22"/>
        </w:rPr>
        <w:t>. Nota Ance</w:t>
      </w:r>
    </w:p>
    <w:bookmarkEnd w:id="0"/>
    <w:p w14:paraId="60F54955" w14:textId="6B3665E9" w:rsidR="00B00A2F" w:rsidRPr="008D2D79" w:rsidRDefault="00B00A2F" w:rsidP="00C3700B">
      <w:pPr>
        <w:rPr>
          <w:rFonts w:ascii="Calibri" w:hAnsi="Calibri" w:cs="Calibri"/>
          <w:sz w:val="22"/>
          <w:szCs w:val="22"/>
        </w:rPr>
      </w:pPr>
    </w:p>
    <w:p w14:paraId="49E057B3" w14:textId="1238E9AD"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In caso di trasferimento di un edificio da demolire in base ad un piano di recupero approvato dal Comune, l’oggetto della cessione su cui calcolare la relativa plusvalenza, ai fini IRPEF, è proprio il “fabbricato”, e non l’</w:t>
      </w:r>
      <w:r w:rsidRPr="008D2D79">
        <w:rPr>
          <w:rFonts w:ascii="Calibri" w:hAnsi="Calibri" w:cs="Calibri"/>
          <w:i/>
          <w:iCs/>
          <w:color w:val="000000"/>
          <w:sz w:val="22"/>
          <w:szCs w:val="22"/>
        </w:rPr>
        <w:t>area edificabile</w:t>
      </w:r>
      <w:r w:rsidRPr="008D2D79">
        <w:rPr>
          <w:rFonts w:ascii="Calibri" w:hAnsi="Calibri" w:cs="Calibri"/>
          <w:color w:val="000000"/>
          <w:sz w:val="22"/>
          <w:szCs w:val="22"/>
        </w:rPr>
        <w:t xml:space="preserve"> sottostante, su cui si svilupperà la nuova volumetria stabilita dal piano urbanistico.</w:t>
      </w:r>
    </w:p>
    <w:p w14:paraId="60CB6DD6" w14:textId="77777777" w:rsidR="00562252" w:rsidRPr="008D2D79" w:rsidRDefault="00562252" w:rsidP="00562252">
      <w:pPr>
        <w:autoSpaceDE w:val="0"/>
        <w:autoSpaceDN w:val="0"/>
        <w:adjustRightInd w:val="0"/>
        <w:rPr>
          <w:rFonts w:ascii="Calibri" w:hAnsi="Calibri" w:cs="Calibri"/>
          <w:color w:val="000000"/>
          <w:sz w:val="22"/>
          <w:szCs w:val="22"/>
        </w:rPr>
      </w:pPr>
    </w:p>
    <w:p w14:paraId="3E9158F3" w14:textId="23334D5C"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 xml:space="preserve">È l’importante chiarimento espresso dall’Agenzia delle Entrate nella </w:t>
      </w:r>
      <w:hyperlink r:id="rId7" w:history="1">
        <w:r w:rsidRPr="008D2D79">
          <w:rPr>
            <w:rStyle w:val="Collegamentoipertestuale"/>
            <w:rFonts w:ascii="Calibri" w:hAnsi="Calibri" w:cs="Calibri"/>
            <w:sz w:val="22"/>
            <w:szCs w:val="22"/>
          </w:rPr>
          <w:t>circolare 29 luglio 2020, n.23/E</w:t>
        </w:r>
      </w:hyperlink>
      <w:r w:rsidRPr="008D2D79">
        <w:rPr>
          <w:rFonts w:ascii="Calibri" w:hAnsi="Calibri" w:cs="Calibri"/>
          <w:color w:val="000000"/>
          <w:sz w:val="22"/>
          <w:szCs w:val="22"/>
        </w:rPr>
        <w:t>, in relazione al corretto trattamento fiscale applicabile, ai fini IRPEF, alla cessione di un edificio destinato alla demolizione in attuazione di un piano di recupero.</w:t>
      </w:r>
    </w:p>
    <w:p w14:paraId="022B9260" w14:textId="77777777" w:rsidR="00562252" w:rsidRPr="008D2D79" w:rsidRDefault="00562252" w:rsidP="00562252">
      <w:pPr>
        <w:autoSpaceDE w:val="0"/>
        <w:autoSpaceDN w:val="0"/>
        <w:adjustRightInd w:val="0"/>
        <w:rPr>
          <w:rFonts w:ascii="Calibri" w:hAnsi="Calibri" w:cs="Calibri"/>
          <w:color w:val="000000"/>
          <w:sz w:val="22"/>
          <w:szCs w:val="22"/>
        </w:rPr>
      </w:pPr>
    </w:p>
    <w:p w14:paraId="690E43D5" w14:textId="5C9B1915"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L’Amministrazione finanziaria disattende, così, una propria precedente pronuncia (la R.M. 395/E/2008), alla luce dell’ormai predominante indirizzo della Corte di Cassazione, in base al quale se su un’area esiste un fabbricato e questo viene ceduto, l’oggetto della compravendita è il trasferimento dell’edificio, a nulla rilevando la circostanza che l’immobile sia destinato alla successiva demolizione in base ad uno strumento urbanistico.</w:t>
      </w:r>
    </w:p>
    <w:p w14:paraId="634D2F3F" w14:textId="451E1AEA" w:rsidR="00562252" w:rsidRPr="008D2D79" w:rsidRDefault="00562252" w:rsidP="00562252">
      <w:pPr>
        <w:autoSpaceDE w:val="0"/>
        <w:autoSpaceDN w:val="0"/>
        <w:adjustRightInd w:val="0"/>
        <w:rPr>
          <w:rFonts w:ascii="Calibri" w:hAnsi="Calibri" w:cs="Calibri"/>
          <w:i/>
          <w:iCs/>
          <w:color w:val="000000"/>
          <w:sz w:val="22"/>
          <w:szCs w:val="22"/>
        </w:rPr>
      </w:pPr>
      <w:r w:rsidRPr="008D2D79">
        <w:rPr>
          <w:rFonts w:ascii="Calibri" w:hAnsi="Calibri" w:cs="Calibri"/>
          <w:color w:val="000000"/>
          <w:sz w:val="22"/>
          <w:szCs w:val="22"/>
        </w:rPr>
        <w:t xml:space="preserve">Infatti, l’area su cui insiste il fabbricato da cedere deve considerarsi già edificata </w:t>
      </w:r>
      <w:r w:rsidRPr="008D2D79">
        <w:rPr>
          <w:rFonts w:ascii="Calibri" w:hAnsi="Calibri" w:cs="Calibri"/>
          <w:i/>
          <w:iCs/>
          <w:color w:val="000000"/>
          <w:sz w:val="22"/>
          <w:szCs w:val="22"/>
        </w:rPr>
        <w:t>«e non può essere ricondotta alla previsione di “area suscettibile di utilizzazione edificatoria” di cui all’articolo 67 del TUIR».</w:t>
      </w:r>
    </w:p>
    <w:p w14:paraId="7C3141FC" w14:textId="77777777" w:rsidR="00562252" w:rsidRPr="008D2D79" w:rsidRDefault="00562252" w:rsidP="00562252">
      <w:pPr>
        <w:autoSpaceDE w:val="0"/>
        <w:autoSpaceDN w:val="0"/>
        <w:adjustRightInd w:val="0"/>
        <w:rPr>
          <w:rFonts w:ascii="Calibri" w:hAnsi="Calibri" w:cs="Calibri"/>
          <w:color w:val="000000"/>
          <w:sz w:val="22"/>
          <w:szCs w:val="22"/>
        </w:rPr>
      </w:pPr>
    </w:p>
    <w:p w14:paraId="231A812B" w14:textId="2EFB5D26"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La questione derivava dal diverso regime fiscale delle plusvalenze (intese come differenza positiva fra il corrispettivo di vendita e quello di acquisto dell’immobile), come “redditi diversi” ai fini IRPEF, applicabile nell’ipotesi di cessione:</w:t>
      </w:r>
    </w:p>
    <w:p w14:paraId="4ADA1D12" w14:textId="77777777" w:rsidR="00562252" w:rsidRPr="008D2D79" w:rsidRDefault="00562252" w:rsidP="00562252">
      <w:pPr>
        <w:pStyle w:val="Paragrafoelenco"/>
        <w:numPr>
          <w:ilvl w:val="0"/>
          <w:numId w:val="32"/>
        </w:numPr>
        <w:autoSpaceDE w:val="0"/>
        <w:autoSpaceDN w:val="0"/>
        <w:adjustRightInd w:val="0"/>
        <w:spacing w:after="0" w:line="240" w:lineRule="auto"/>
        <w:rPr>
          <w:rFonts w:cs="Calibri"/>
          <w:color w:val="000000"/>
        </w:rPr>
      </w:pPr>
      <w:r w:rsidRPr="008D2D79">
        <w:rPr>
          <w:rFonts w:cs="Calibri"/>
          <w:b/>
          <w:bCs/>
          <w:color w:val="000000"/>
        </w:rPr>
        <w:t>di un fabbricato</w:t>
      </w:r>
      <w:r w:rsidRPr="008D2D79">
        <w:rPr>
          <w:rFonts w:cs="Calibri"/>
          <w:color w:val="000000"/>
        </w:rPr>
        <w:t>. In tal caso, l’operazione è imponibile ad IRPEF solo se la cessione avviene entro cinque anni dall’acquisto o dalla costruzione dell’immobile (salvo specifiche eccezioni);</w:t>
      </w:r>
    </w:p>
    <w:p w14:paraId="2C9A1C33" w14:textId="77777777" w:rsidR="00562252" w:rsidRPr="008D2D79" w:rsidRDefault="00562252" w:rsidP="00562252">
      <w:pPr>
        <w:pStyle w:val="Paragrafoelenco"/>
        <w:numPr>
          <w:ilvl w:val="0"/>
          <w:numId w:val="32"/>
        </w:numPr>
        <w:autoSpaceDE w:val="0"/>
        <w:autoSpaceDN w:val="0"/>
        <w:adjustRightInd w:val="0"/>
        <w:spacing w:after="0" w:line="240" w:lineRule="auto"/>
        <w:rPr>
          <w:rFonts w:cs="Calibri"/>
          <w:color w:val="000000"/>
        </w:rPr>
      </w:pPr>
      <w:r w:rsidRPr="008D2D79">
        <w:rPr>
          <w:rFonts w:cs="Calibri"/>
          <w:color w:val="000000"/>
        </w:rPr>
        <w:t xml:space="preserve"> </w:t>
      </w:r>
      <w:r w:rsidRPr="008D2D79">
        <w:rPr>
          <w:rFonts w:cs="Calibri"/>
          <w:b/>
          <w:bCs/>
          <w:color w:val="000000"/>
        </w:rPr>
        <w:t>di un’area edificabile</w:t>
      </w:r>
      <w:r w:rsidRPr="008D2D79">
        <w:rPr>
          <w:rFonts w:cs="Calibri"/>
          <w:color w:val="000000"/>
        </w:rPr>
        <w:t>. In questa ipotesi, la plusvalenza generata dal trasferimento è sempre imponibile ad IRPEF, a prescindere dal periodo di possesso.</w:t>
      </w:r>
    </w:p>
    <w:p w14:paraId="61ABD4B9" w14:textId="77777777" w:rsidR="00562252" w:rsidRPr="008D2D79" w:rsidRDefault="00562252" w:rsidP="00562252">
      <w:pPr>
        <w:autoSpaceDE w:val="0"/>
        <w:autoSpaceDN w:val="0"/>
        <w:adjustRightInd w:val="0"/>
        <w:rPr>
          <w:rFonts w:ascii="Calibri" w:hAnsi="Calibri" w:cs="Calibri"/>
          <w:color w:val="000000"/>
          <w:sz w:val="22"/>
          <w:szCs w:val="22"/>
        </w:rPr>
      </w:pPr>
    </w:p>
    <w:p w14:paraId="2F389025" w14:textId="08BD4FD2"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A suo tempo, nell’ipotesi di cessione di un edificio inserito in un piano di recupero comunale, l’Agenzia delle Entrate, con la R.M. 395/E/2008 aveva ritenuto che il bene trasferito fosse da qualificare come “area edificabile”, in base allo schema di convenzione che comprendeva la «</w:t>
      </w:r>
      <w:r w:rsidRPr="008D2D79">
        <w:rPr>
          <w:rFonts w:ascii="Calibri" w:hAnsi="Calibri" w:cs="Calibri"/>
          <w:i/>
          <w:iCs/>
          <w:color w:val="000000"/>
          <w:sz w:val="22"/>
          <w:szCs w:val="22"/>
        </w:rPr>
        <w:t>preventiva demolizione degli edifici</w:t>
      </w:r>
      <w:r w:rsidRPr="008D2D79">
        <w:rPr>
          <w:rFonts w:ascii="Calibri" w:hAnsi="Calibri" w:cs="Calibri"/>
          <w:color w:val="000000"/>
          <w:sz w:val="22"/>
          <w:szCs w:val="22"/>
        </w:rPr>
        <w:t xml:space="preserve"> </w:t>
      </w:r>
      <w:r w:rsidRPr="008D2D79">
        <w:rPr>
          <w:rFonts w:ascii="Calibri" w:hAnsi="Calibri" w:cs="Calibri"/>
          <w:i/>
          <w:iCs/>
          <w:color w:val="000000"/>
          <w:sz w:val="22"/>
          <w:szCs w:val="22"/>
        </w:rPr>
        <w:t>esistenti»</w:t>
      </w:r>
      <w:r w:rsidRPr="008D2D79">
        <w:rPr>
          <w:rFonts w:ascii="Calibri" w:hAnsi="Calibri" w:cs="Calibri"/>
          <w:color w:val="000000"/>
          <w:sz w:val="22"/>
          <w:szCs w:val="22"/>
        </w:rPr>
        <w:t>. Di conseguenza, in conformità alle citate disposizioni normative, trattandosi del trasferimento di un’area, l’operazione veniva sempre considerata tassabile ai fini IRPEF.</w:t>
      </w:r>
    </w:p>
    <w:p w14:paraId="389DBB6B" w14:textId="77777777" w:rsidR="00562252" w:rsidRPr="008D2D79" w:rsidRDefault="00562252" w:rsidP="00562252">
      <w:pPr>
        <w:autoSpaceDE w:val="0"/>
        <w:autoSpaceDN w:val="0"/>
        <w:adjustRightInd w:val="0"/>
        <w:rPr>
          <w:rFonts w:ascii="Calibri" w:hAnsi="Calibri" w:cs="Calibri"/>
          <w:color w:val="000000"/>
          <w:sz w:val="22"/>
          <w:szCs w:val="22"/>
        </w:rPr>
      </w:pPr>
    </w:p>
    <w:p w14:paraId="27FE9716" w14:textId="7E135644"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Tenuto conto della prevalente giurisprudenza della Suprema Corte, che per tale fattispecie considera il fabbricato, e non l’area, come oggetto della cessione, anche l’Agenzia delle Entrate riconosce, nella circolare 23/E/2020, che il regime fiscale ai fini della plusvalenza deve essere quello più favorevole relativo ai fabbricati, in base al quale la tassazione opera unicamente in caso di cessione infraquinquennale dell’immobile (fatte salve le eccezioni normativamente previste).</w:t>
      </w:r>
    </w:p>
    <w:p w14:paraId="50297A4F" w14:textId="77777777" w:rsidR="00562252" w:rsidRPr="008D2D79" w:rsidRDefault="00562252" w:rsidP="00562252">
      <w:pPr>
        <w:autoSpaceDE w:val="0"/>
        <w:autoSpaceDN w:val="0"/>
        <w:adjustRightInd w:val="0"/>
        <w:rPr>
          <w:rFonts w:ascii="Calibri" w:hAnsi="Calibri" w:cs="Calibri"/>
          <w:color w:val="000000"/>
          <w:sz w:val="22"/>
          <w:szCs w:val="22"/>
        </w:rPr>
      </w:pPr>
    </w:p>
    <w:p w14:paraId="6CF6F0F2" w14:textId="14FE7F44"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t xml:space="preserve">Vengono, quindi, espressamente superate le indicazioni della R.M. 395/E/2008 e l’Agenzia delle Entrate, in sostanza, </w:t>
      </w:r>
      <w:r w:rsidRPr="008D2D79">
        <w:rPr>
          <w:rFonts w:ascii="Calibri" w:hAnsi="Calibri" w:cs="Calibri"/>
          <w:b/>
          <w:bCs/>
          <w:color w:val="000000"/>
          <w:sz w:val="22"/>
          <w:szCs w:val="22"/>
        </w:rPr>
        <w:t>rinuncia alla prosecuzione dei contenziosi in corso</w:t>
      </w:r>
      <w:r w:rsidRPr="008D2D79">
        <w:rPr>
          <w:rFonts w:ascii="Calibri" w:hAnsi="Calibri" w:cs="Calibri"/>
          <w:color w:val="000000"/>
          <w:sz w:val="22"/>
          <w:szCs w:val="22"/>
        </w:rPr>
        <w:t>, non essendo più ulteriormente sostenibili le proprie pretese.</w:t>
      </w:r>
    </w:p>
    <w:p w14:paraId="7A91AD34" w14:textId="77777777" w:rsidR="00562252" w:rsidRPr="008D2D79" w:rsidRDefault="00562252" w:rsidP="00562252">
      <w:pPr>
        <w:autoSpaceDE w:val="0"/>
        <w:autoSpaceDN w:val="0"/>
        <w:adjustRightInd w:val="0"/>
        <w:rPr>
          <w:rFonts w:ascii="Calibri" w:hAnsi="Calibri" w:cs="Calibri"/>
          <w:color w:val="000000"/>
          <w:sz w:val="22"/>
          <w:szCs w:val="22"/>
        </w:rPr>
      </w:pPr>
    </w:p>
    <w:p w14:paraId="34FCC471" w14:textId="34F8FF11" w:rsidR="00562252" w:rsidRPr="008D2D79" w:rsidRDefault="00562252" w:rsidP="00562252">
      <w:pPr>
        <w:autoSpaceDE w:val="0"/>
        <w:autoSpaceDN w:val="0"/>
        <w:adjustRightInd w:val="0"/>
        <w:rPr>
          <w:rFonts w:ascii="Calibri" w:hAnsi="Calibri" w:cs="Calibri"/>
          <w:color w:val="000000"/>
          <w:sz w:val="22"/>
          <w:szCs w:val="22"/>
        </w:rPr>
      </w:pPr>
      <w:r w:rsidRPr="008D2D79">
        <w:rPr>
          <w:rFonts w:ascii="Calibri" w:hAnsi="Calibri" w:cs="Calibri"/>
          <w:color w:val="000000"/>
          <w:sz w:val="22"/>
          <w:szCs w:val="22"/>
        </w:rPr>
        <w:lastRenderedPageBreak/>
        <w:t xml:space="preserve">Per completezza si evidenzia che il principio espresso nella circolare 23/E/2020 allinea il regime fiscale - in relazione alle imposte sui redditi - con quello dell’IVA, ai fini del quale la stessa Agenzia delle Entrate, per la medesima fattispecie di cessione di un edificio da demolire, ha fatto riferimento alla “natura oggettiva” del bene ceduto, qualificandolo come “fabbricato” (cd. “criterio catastale ai fini IVA”). </w:t>
      </w:r>
    </w:p>
    <w:p w14:paraId="20F08153" w14:textId="77777777" w:rsidR="00562252" w:rsidRDefault="00562252" w:rsidP="00C3700B">
      <w:pPr>
        <w:rPr>
          <w:rFonts w:ascii="Calibri" w:hAnsi="Calibri" w:cs="Calibri Light"/>
          <w:sz w:val="22"/>
          <w:szCs w:val="22"/>
        </w:rPr>
      </w:pPr>
    </w:p>
    <w:p w14:paraId="0578E004" w14:textId="77777777" w:rsidR="00466A5F" w:rsidRDefault="00466A5F" w:rsidP="000969C3">
      <w:pPr>
        <w:jc w:val="both"/>
        <w:rPr>
          <w:rFonts w:ascii="Calibri" w:hAnsi="Calibri" w:cs="Calibri Light"/>
          <w:b/>
          <w:bCs/>
          <w:sz w:val="22"/>
          <w:szCs w:val="22"/>
        </w:rPr>
      </w:pPr>
    </w:p>
    <w:p w14:paraId="7C7AA374" w14:textId="49216A71" w:rsidR="001A46F2" w:rsidRDefault="001A46F2" w:rsidP="008009D5">
      <w:pPr>
        <w:tabs>
          <w:tab w:val="left" w:pos="720"/>
          <w:tab w:val="left" w:pos="900"/>
          <w:tab w:val="left" w:pos="1260"/>
          <w:tab w:val="left" w:pos="5580"/>
          <w:tab w:val="left" w:pos="6120"/>
        </w:tabs>
        <w:ind w:right="-2"/>
        <w:rPr>
          <w:rFonts w:ascii="Calibri" w:hAnsi="Calibri" w:cs="Calibri"/>
          <w:b/>
          <w:bCs/>
          <w:sz w:val="22"/>
          <w:szCs w:val="22"/>
        </w:rPr>
      </w:pPr>
      <w:r>
        <w:rPr>
          <w:rFonts w:ascii="Calibri" w:hAnsi="Calibri" w:cs="Calibri"/>
          <w:b/>
          <w:bCs/>
          <w:sz w:val="22"/>
          <w:szCs w:val="22"/>
        </w:rPr>
        <w:t>Riferimenti:</w:t>
      </w:r>
    </w:p>
    <w:p w14:paraId="6B7FC09A" w14:textId="0C3586A2" w:rsidR="008009D5" w:rsidRPr="001A46F2"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1A46F2">
        <w:rPr>
          <w:rFonts w:ascii="Calibri" w:hAnsi="Calibri" w:cs="Calibri"/>
          <w:sz w:val="22"/>
          <w:szCs w:val="22"/>
        </w:rPr>
        <w:t>Area Economia di Impresa</w:t>
      </w:r>
    </w:p>
    <w:p w14:paraId="1F0CCBFC" w14:textId="182D3D4E"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Alessandro Castagnino Tel. 075 5820230 – Cell. 335 7175365 </w:t>
      </w:r>
    </w:p>
    <w:p w14:paraId="48FA35B9"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lang w:val="en-US"/>
        </w:rPr>
      </w:pPr>
      <w:r w:rsidRPr="00A82347">
        <w:rPr>
          <w:rFonts w:ascii="Calibri" w:hAnsi="Calibri" w:cs="Calibri"/>
          <w:sz w:val="22"/>
          <w:szCs w:val="22"/>
          <w:lang w:val="en-US"/>
        </w:rPr>
        <w:t xml:space="preserve">Email: </w:t>
      </w:r>
      <w:hyperlink r:id="rId8" w:history="1">
        <w:r w:rsidRPr="00A82347">
          <w:rPr>
            <w:rFonts w:ascii="Calibri" w:hAnsi="Calibri" w:cs="Calibri"/>
            <w:color w:val="0000FF"/>
            <w:sz w:val="22"/>
            <w:szCs w:val="22"/>
            <w:u w:val="single"/>
            <w:lang w:val="en-US"/>
          </w:rPr>
          <w:t>castagnino@confindustria.umbria.it</w:t>
        </w:r>
      </w:hyperlink>
      <w:r w:rsidRPr="00A82347">
        <w:rPr>
          <w:rFonts w:ascii="Calibri" w:hAnsi="Calibri" w:cs="Calibri"/>
          <w:sz w:val="22"/>
          <w:szCs w:val="22"/>
          <w:lang w:val="en-US"/>
        </w:rPr>
        <w:br/>
      </w:r>
    </w:p>
    <w:p w14:paraId="41EBD65E"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Valentina Vignaroli Tel. 075 5820209 – Cell. 338 6493886  </w:t>
      </w:r>
    </w:p>
    <w:p w14:paraId="0F8BBE07" w14:textId="77777777" w:rsidR="008009D5" w:rsidRPr="006F103B"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6F103B">
        <w:rPr>
          <w:rFonts w:ascii="Calibri" w:hAnsi="Calibri" w:cs="Calibri"/>
          <w:sz w:val="22"/>
          <w:szCs w:val="22"/>
        </w:rPr>
        <w:t xml:space="preserve">Email: </w:t>
      </w:r>
      <w:hyperlink r:id="rId9" w:history="1">
        <w:r w:rsidRPr="006F103B">
          <w:rPr>
            <w:rFonts w:ascii="Calibri" w:hAnsi="Calibri" w:cs="Calibri"/>
            <w:color w:val="0000FF"/>
            <w:sz w:val="22"/>
            <w:szCs w:val="22"/>
            <w:u w:val="single"/>
          </w:rPr>
          <w:t>vignaroli@confindustria.umbria.it</w:t>
        </w:r>
      </w:hyperlink>
      <w:r w:rsidRPr="006F103B">
        <w:rPr>
          <w:rFonts w:ascii="Calibri" w:hAnsi="Calibri" w:cs="Calibri"/>
          <w:sz w:val="22"/>
          <w:szCs w:val="22"/>
        </w:rPr>
        <w:br/>
      </w:r>
    </w:p>
    <w:p w14:paraId="7F05B8E7"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 xml:space="preserve">Paola Roscini Tel. 075 5820220 – Cell. 329 9261061 </w:t>
      </w:r>
    </w:p>
    <w:p w14:paraId="1993761F" w14:textId="77777777" w:rsidR="008009D5" w:rsidRPr="00A82347" w:rsidRDefault="008009D5" w:rsidP="008009D5">
      <w:pPr>
        <w:tabs>
          <w:tab w:val="left" w:pos="720"/>
          <w:tab w:val="left" w:pos="900"/>
          <w:tab w:val="left" w:pos="1260"/>
          <w:tab w:val="left" w:pos="5580"/>
          <w:tab w:val="left" w:pos="6120"/>
        </w:tabs>
        <w:ind w:right="-2"/>
        <w:rPr>
          <w:rFonts w:ascii="Calibri" w:hAnsi="Calibri" w:cs="Calibri"/>
          <w:sz w:val="22"/>
          <w:szCs w:val="22"/>
        </w:rPr>
      </w:pPr>
      <w:r w:rsidRPr="00A82347">
        <w:rPr>
          <w:rFonts w:ascii="Calibri" w:hAnsi="Calibri" w:cs="Calibri"/>
          <w:sz w:val="22"/>
          <w:szCs w:val="22"/>
        </w:rPr>
        <w:t>Email: </w:t>
      </w:r>
      <w:hyperlink r:id="rId10" w:history="1">
        <w:r w:rsidRPr="00A82347">
          <w:rPr>
            <w:rFonts w:ascii="Calibri" w:hAnsi="Calibri" w:cs="Calibri"/>
            <w:color w:val="0000FF"/>
            <w:sz w:val="22"/>
            <w:szCs w:val="22"/>
            <w:u w:val="single"/>
          </w:rPr>
          <w:t>roscini@confindustria.umbria.it</w:t>
        </w:r>
      </w:hyperlink>
    </w:p>
    <w:p w14:paraId="389CE1E4" w14:textId="77777777" w:rsidR="005A6420" w:rsidRPr="00777439" w:rsidRDefault="005A6420" w:rsidP="008009D5">
      <w:pPr>
        <w:tabs>
          <w:tab w:val="left" w:pos="720"/>
          <w:tab w:val="left" w:pos="900"/>
          <w:tab w:val="left" w:pos="1260"/>
          <w:tab w:val="left" w:pos="5580"/>
          <w:tab w:val="left" w:pos="6120"/>
        </w:tabs>
        <w:ind w:right="-2"/>
        <w:jc w:val="both"/>
        <w:rPr>
          <w:rFonts w:ascii="Calibri" w:hAnsi="Calibri" w:cs="Calibri"/>
          <w:sz w:val="22"/>
          <w:szCs w:val="22"/>
        </w:rPr>
      </w:pPr>
    </w:p>
    <w:p w14:paraId="310C91E3" w14:textId="77777777" w:rsidR="0091416E" w:rsidRPr="00777439" w:rsidRDefault="0091416E"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4A457965" w14:textId="40E0A07B" w:rsidR="00134010" w:rsidRPr="00777439" w:rsidRDefault="00134010"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04797544" w14:textId="77777777" w:rsidR="00F33005" w:rsidRPr="00777439" w:rsidRDefault="00F33005" w:rsidP="00D27A1C">
      <w:pPr>
        <w:tabs>
          <w:tab w:val="left" w:pos="720"/>
          <w:tab w:val="left" w:pos="900"/>
          <w:tab w:val="left" w:pos="1260"/>
          <w:tab w:val="left" w:pos="5580"/>
          <w:tab w:val="left" w:pos="6120"/>
        </w:tabs>
        <w:ind w:left="142" w:right="-2"/>
        <w:jc w:val="both"/>
        <w:rPr>
          <w:rFonts w:ascii="Calibri" w:hAnsi="Calibri" w:cs="Calibri"/>
          <w:sz w:val="22"/>
          <w:szCs w:val="22"/>
        </w:rPr>
      </w:pPr>
    </w:p>
    <w:p w14:paraId="7FBCA73E" w14:textId="343EE07A" w:rsidR="00783E6E" w:rsidRPr="00777439" w:rsidRDefault="00952E48" w:rsidP="000A4D82">
      <w:pPr>
        <w:tabs>
          <w:tab w:val="left" w:pos="720"/>
          <w:tab w:val="left" w:pos="900"/>
          <w:tab w:val="left" w:pos="1260"/>
          <w:tab w:val="left" w:pos="5580"/>
          <w:tab w:val="left" w:pos="6120"/>
        </w:tabs>
        <w:ind w:right="-2"/>
        <w:jc w:val="right"/>
        <w:rPr>
          <w:rFonts w:ascii="Calibri" w:hAnsi="Calibri" w:cs="Calibri"/>
          <w:sz w:val="22"/>
          <w:szCs w:val="22"/>
        </w:rPr>
      </w:pPr>
      <w:r w:rsidRPr="00A00EBE">
        <w:rPr>
          <w:rFonts w:ascii="Calibri" w:hAnsi="Calibri" w:cs="Calibri"/>
          <w:sz w:val="22"/>
          <w:szCs w:val="22"/>
        </w:rPr>
        <w:t xml:space="preserve">Pubblicato il </w:t>
      </w:r>
      <w:r w:rsidR="007405DF">
        <w:rPr>
          <w:rFonts w:ascii="Calibri" w:hAnsi="Calibri" w:cs="Calibri"/>
          <w:sz w:val="22"/>
          <w:szCs w:val="22"/>
        </w:rPr>
        <w:t>0</w:t>
      </w:r>
      <w:r w:rsidR="00562252">
        <w:rPr>
          <w:rFonts w:ascii="Calibri" w:hAnsi="Calibri" w:cs="Calibri"/>
          <w:sz w:val="22"/>
          <w:szCs w:val="22"/>
        </w:rPr>
        <w:t>4</w:t>
      </w:r>
      <w:r w:rsidR="00A66B46" w:rsidRPr="00A00EBE">
        <w:rPr>
          <w:rFonts w:ascii="Calibri" w:hAnsi="Calibri" w:cs="Calibri"/>
          <w:sz w:val="22"/>
          <w:szCs w:val="22"/>
        </w:rPr>
        <w:t>/0</w:t>
      </w:r>
      <w:r w:rsidR="007405DF">
        <w:rPr>
          <w:rFonts w:ascii="Calibri" w:hAnsi="Calibri" w:cs="Calibri"/>
          <w:sz w:val="22"/>
          <w:szCs w:val="22"/>
        </w:rPr>
        <w:t>8</w:t>
      </w:r>
      <w:r w:rsidR="00A66B46" w:rsidRPr="00A00EBE">
        <w:rPr>
          <w:rFonts w:ascii="Calibri" w:hAnsi="Calibri" w:cs="Calibri"/>
          <w:sz w:val="22"/>
          <w:szCs w:val="22"/>
        </w:rPr>
        <w:t>/2020</w:t>
      </w:r>
    </w:p>
    <w:sectPr w:rsidR="00783E6E" w:rsidRPr="00777439" w:rsidSect="004E62C8">
      <w:headerReference w:type="first" r:id="rId11"/>
      <w:footerReference w:type="first" r:id="rId12"/>
      <w:type w:val="continuous"/>
      <w:pgSz w:w="11906" w:h="16838" w:code="9"/>
      <w:pgMar w:top="993" w:right="1134" w:bottom="899" w:left="1985" w:header="1080" w:footer="381"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5906B" w14:textId="77777777" w:rsidR="00D04B92" w:rsidRDefault="00D04B92">
      <w:r>
        <w:separator/>
      </w:r>
    </w:p>
  </w:endnote>
  <w:endnote w:type="continuationSeparator" w:id="0">
    <w:p w14:paraId="38D5D1C5" w14:textId="77777777" w:rsidR="00D04B92" w:rsidRDefault="00D04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ook">
    <w:panose1 w:val="02000504030000020003"/>
    <w:charset w:val="00"/>
    <w:family w:val="auto"/>
    <w:pitch w:val="variable"/>
    <w:sig w:usb0="00000003" w:usb1="00000000" w:usb2="00000000" w:usb3="00000000" w:csb0="00000001" w:csb1="00000000"/>
  </w:font>
  <w:font w:name="Futura LT Light">
    <w:panose1 w:val="02000504030000020003"/>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34F788" w14:textId="77777777" w:rsidR="00151BDD" w:rsidRPr="004C2CC8" w:rsidRDefault="00BC4801" w:rsidP="00474ADE">
    <w:pPr>
      <w:tabs>
        <w:tab w:val="left" w:pos="900"/>
        <w:tab w:val="left" w:pos="1260"/>
        <w:tab w:val="left" w:pos="1620"/>
      </w:tabs>
      <w:rPr>
        <w:rFonts w:ascii="Futura LT Book" w:hAnsi="Futura LT Book"/>
        <w:b/>
        <w:color w:val="205394"/>
        <w:sz w:val="16"/>
        <w:szCs w:val="16"/>
      </w:rPr>
    </w:pPr>
    <w:r>
      <w:rPr>
        <w:rFonts w:ascii="Futura LT Book" w:hAnsi="Futura LT Book"/>
        <w:b/>
        <w:color w:val="205394"/>
        <w:sz w:val="16"/>
        <w:szCs w:val="16"/>
      </w:rPr>
      <w:t>Confindustria Umbria</w:t>
    </w:r>
  </w:p>
  <w:p w14:paraId="3908D6ED" w14:textId="77777777" w:rsidR="00151BDD" w:rsidRPr="004C2CC8" w:rsidRDefault="00BC4801"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 xml:space="preserve">Via Palermo, 80/A </w:t>
    </w:r>
    <w:r w:rsidR="00151BDD" w:rsidRPr="004C2CC8">
      <w:rPr>
        <w:rFonts w:ascii="Futura LT Book" w:hAnsi="Futura LT Book"/>
        <w:color w:val="205394"/>
        <w:sz w:val="16"/>
        <w:szCs w:val="16"/>
      </w:rPr>
      <w:t>0612</w:t>
    </w:r>
    <w:r w:rsidR="001E720B" w:rsidRPr="004C2CC8">
      <w:rPr>
        <w:rFonts w:ascii="Futura LT Book" w:hAnsi="Futura LT Book"/>
        <w:color w:val="205394"/>
        <w:sz w:val="16"/>
        <w:szCs w:val="16"/>
      </w:rPr>
      <w:t>4</w:t>
    </w:r>
    <w:r w:rsidR="00151BDD" w:rsidRPr="004C2CC8">
      <w:rPr>
        <w:rFonts w:ascii="Futura LT Book" w:hAnsi="Futura LT Book"/>
        <w:color w:val="205394"/>
        <w:sz w:val="16"/>
        <w:szCs w:val="16"/>
      </w:rPr>
      <w:t xml:space="preserve"> Perugia </w:t>
    </w:r>
  </w:p>
  <w:p w14:paraId="232A169E" w14:textId="77777777" w:rsidR="00151BDD" w:rsidRPr="004C2CC8" w:rsidRDefault="00151BDD" w:rsidP="00474ADE">
    <w:pPr>
      <w:tabs>
        <w:tab w:val="left" w:pos="900"/>
        <w:tab w:val="left" w:pos="1260"/>
        <w:tab w:val="left" w:pos="1620"/>
      </w:tabs>
      <w:rPr>
        <w:rFonts w:ascii="Futura LT Book" w:hAnsi="Futura LT Book"/>
        <w:color w:val="205394"/>
        <w:sz w:val="16"/>
        <w:szCs w:val="16"/>
      </w:rPr>
    </w:pPr>
    <w:r w:rsidRPr="004C2CC8">
      <w:rPr>
        <w:rFonts w:ascii="Futura LT Book" w:hAnsi="Futura LT Book"/>
        <w:color w:val="205394"/>
        <w:sz w:val="16"/>
        <w:szCs w:val="16"/>
      </w:rPr>
      <w:t>Telefono 075 582</w:t>
    </w:r>
    <w:r w:rsidR="00CB1898" w:rsidRPr="004C2CC8">
      <w:rPr>
        <w:rFonts w:ascii="Futura LT Book" w:hAnsi="Futura LT Book"/>
        <w:color w:val="205394"/>
        <w:sz w:val="16"/>
        <w:szCs w:val="16"/>
      </w:rPr>
      <w:t>01</w:t>
    </w:r>
    <w:r w:rsidRPr="004C2CC8">
      <w:rPr>
        <w:rFonts w:ascii="Futura LT Book" w:hAnsi="Futura LT Book"/>
        <w:color w:val="205394"/>
        <w:sz w:val="16"/>
        <w:szCs w:val="16"/>
      </w:rPr>
      <w:t xml:space="preserve"> – Fax 075 </w:t>
    </w:r>
    <w:r w:rsidR="00CB1898" w:rsidRPr="004C2CC8">
      <w:rPr>
        <w:rFonts w:ascii="Futura LT Book" w:hAnsi="Futura LT Book"/>
        <w:color w:val="205394"/>
        <w:sz w:val="16"/>
        <w:szCs w:val="16"/>
      </w:rPr>
      <w:t>32160</w:t>
    </w:r>
  </w:p>
  <w:p w14:paraId="20B2810B" w14:textId="77777777" w:rsidR="00151BDD" w:rsidRPr="004C2CC8" w:rsidRDefault="00952E48" w:rsidP="00474ADE">
    <w:pPr>
      <w:tabs>
        <w:tab w:val="left" w:pos="900"/>
        <w:tab w:val="left" w:pos="1260"/>
        <w:tab w:val="left" w:pos="1620"/>
      </w:tabs>
      <w:rPr>
        <w:rFonts w:ascii="Futura LT Book" w:hAnsi="Futura LT Book"/>
        <w:color w:val="205394"/>
        <w:sz w:val="16"/>
        <w:szCs w:val="16"/>
      </w:rPr>
    </w:pPr>
    <w:r>
      <w:rPr>
        <w:rFonts w:ascii="Futura LT Book" w:hAnsi="Futura LT Book"/>
        <w:color w:val="205394"/>
        <w:sz w:val="16"/>
        <w:szCs w:val="16"/>
      </w:rPr>
      <w:t>notiziario</w:t>
    </w:r>
    <w:r w:rsidR="00151BDD" w:rsidRPr="004C2CC8">
      <w:rPr>
        <w:rFonts w:ascii="Futura LT Book" w:hAnsi="Futura LT Book"/>
        <w:color w:val="205394"/>
        <w:sz w:val="16"/>
        <w:szCs w:val="16"/>
      </w:rPr>
      <w:t>@confindustria.umbria.it   www.confindustria.umbria.it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A297B9" w14:textId="77777777" w:rsidR="00D04B92" w:rsidRDefault="00D04B92">
      <w:r>
        <w:separator/>
      </w:r>
    </w:p>
  </w:footnote>
  <w:footnote w:type="continuationSeparator" w:id="0">
    <w:p w14:paraId="5AAD74EF" w14:textId="77777777" w:rsidR="00D04B92" w:rsidRDefault="00D04B9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2578" w:type="dxa"/>
      <w:tblInd w:w="-792" w:type="dxa"/>
      <w:tblLayout w:type="fixed"/>
      <w:tblLook w:val="01E0" w:firstRow="1" w:lastRow="1" w:firstColumn="1" w:lastColumn="1" w:noHBand="0" w:noVBand="0"/>
    </w:tblPr>
    <w:tblGrid>
      <w:gridCol w:w="900"/>
      <w:gridCol w:w="5421"/>
      <w:gridCol w:w="1653"/>
      <w:gridCol w:w="4604"/>
    </w:tblGrid>
    <w:tr w:rsidR="001867E9" w14:paraId="1C413A52" w14:textId="77777777" w:rsidTr="00952E48">
      <w:tc>
        <w:tcPr>
          <w:tcW w:w="900" w:type="dxa"/>
        </w:tcPr>
        <w:p w14:paraId="13A69F8E" w14:textId="77777777" w:rsidR="001867E9" w:rsidRDefault="00D04B92">
          <w:pPr>
            <w:tabs>
              <w:tab w:val="left" w:pos="720"/>
              <w:tab w:val="left" w:pos="900"/>
              <w:tab w:val="left" w:pos="1260"/>
              <w:tab w:val="left" w:pos="1980"/>
            </w:tabs>
          </w:pPr>
          <w:r>
            <w:rPr>
              <w:noProof/>
              <w:color w:val="205394"/>
            </w:rPr>
            <w:pict w14:anchorId="6656F2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i1025" type="#_x0000_t75" alt="acquila" style="width:41.25pt;height:39pt;visibility:visible">
                <v:imagedata r:id="rId1" o:title="acquila"/>
              </v:shape>
            </w:pict>
          </w:r>
        </w:p>
      </w:tc>
      <w:tc>
        <w:tcPr>
          <w:tcW w:w="5421" w:type="dxa"/>
          <w:vAlign w:val="bottom"/>
        </w:tcPr>
        <w:p w14:paraId="7A43C720" w14:textId="77777777" w:rsidR="001867E9" w:rsidRPr="00895D5A" w:rsidRDefault="001867E9">
          <w:pPr>
            <w:tabs>
              <w:tab w:val="left" w:pos="720"/>
              <w:tab w:val="left" w:pos="900"/>
              <w:tab w:val="left" w:pos="1260"/>
              <w:tab w:val="left" w:pos="1980"/>
            </w:tabs>
            <w:ind w:left="-108"/>
            <w:rPr>
              <w:rFonts w:ascii="Futura LT Book" w:hAnsi="Futura LT Book"/>
              <w:color w:val="205394"/>
              <w:sz w:val="20"/>
              <w:szCs w:val="20"/>
            </w:rPr>
          </w:pPr>
          <w:r w:rsidRPr="00895D5A">
            <w:rPr>
              <w:rFonts w:ascii="Futura LT Book" w:hAnsi="Futura LT Book"/>
              <w:color w:val="205394"/>
              <w:sz w:val="20"/>
              <w:szCs w:val="20"/>
            </w:rPr>
            <w:t>CONFINDUSTRIA</w:t>
          </w:r>
          <w:r w:rsidR="00CB1898" w:rsidRPr="00895D5A">
            <w:rPr>
              <w:rFonts w:ascii="Futura LT Book" w:hAnsi="Futura LT Book"/>
              <w:color w:val="205394"/>
              <w:sz w:val="20"/>
              <w:szCs w:val="20"/>
            </w:rPr>
            <w:t xml:space="preserve"> UMBRIA</w:t>
          </w:r>
          <w:r w:rsidR="00952E48">
            <w:rPr>
              <w:rFonts w:ascii="Futura LT Book" w:hAnsi="Futura LT Book"/>
              <w:color w:val="205394"/>
              <w:sz w:val="20"/>
              <w:szCs w:val="20"/>
            </w:rPr>
            <w:t xml:space="preserve"> </w:t>
          </w:r>
          <w:r w:rsidR="00952E48" w:rsidRPr="00952E48">
            <w:rPr>
              <w:rFonts w:ascii="Futura LT Book" w:hAnsi="Futura LT Book"/>
              <w:color w:val="205394"/>
              <w:sz w:val="20"/>
              <w:szCs w:val="20"/>
            </w:rPr>
            <w:t>NEWS</w:t>
          </w:r>
          <w:r w:rsidR="00952E48">
            <w:rPr>
              <w:rFonts w:ascii="Futura LT Book" w:hAnsi="Futura LT Book"/>
              <w:color w:val="205394"/>
              <w:sz w:val="20"/>
              <w:szCs w:val="20"/>
            </w:rPr>
            <w:t xml:space="preserve"> </w:t>
          </w:r>
        </w:p>
      </w:tc>
      <w:tc>
        <w:tcPr>
          <w:tcW w:w="1653" w:type="dxa"/>
          <w:vAlign w:val="bottom"/>
        </w:tcPr>
        <w:p w14:paraId="153B0DD7" w14:textId="77777777" w:rsidR="001867E9" w:rsidRDefault="001867E9">
          <w:pPr>
            <w:tabs>
              <w:tab w:val="left" w:pos="720"/>
              <w:tab w:val="left" w:pos="900"/>
              <w:tab w:val="left" w:pos="1260"/>
              <w:tab w:val="left" w:pos="1980"/>
            </w:tabs>
          </w:pPr>
        </w:p>
      </w:tc>
      <w:tc>
        <w:tcPr>
          <w:tcW w:w="4604" w:type="dxa"/>
          <w:vAlign w:val="bottom"/>
        </w:tcPr>
        <w:p w14:paraId="158EA449" w14:textId="77777777" w:rsidR="001867E9" w:rsidRDefault="001867E9">
          <w:pPr>
            <w:rPr>
              <w:rFonts w:ascii="Futura LT Light" w:hAnsi="Futura LT Light"/>
              <w:color w:val="00247E"/>
              <w:sz w:val="20"/>
              <w:szCs w:val="20"/>
            </w:rPr>
          </w:pPr>
        </w:p>
      </w:tc>
    </w:tr>
    <w:tr w:rsidR="001867E9" w14:paraId="7D902A2D" w14:textId="77777777" w:rsidTr="00952E48">
      <w:tc>
        <w:tcPr>
          <w:tcW w:w="900" w:type="dxa"/>
        </w:tcPr>
        <w:p w14:paraId="0D671F4E" w14:textId="77777777" w:rsidR="001867E9" w:rsidRDefault="001867E9">
          <w:pPr>
            <w:tabs>
              <w:tab w:val="left" w:pos="720"/>
              <w:tab w:val="left" w:pos="900"/>
              <w:tab w:val="left" w:pos="1260"/>
              <w:tab w:val="left" w:pos="1980"/>
            </w:tabs>
          </w:pPr>
        </w:p>
      </w:tc>
      <w:tc>
        <w:tcPr>
          <w:tcW w:w="5421" w:type="dxa"/>
        </w:tcPr>
        <w:p w14:paraId="482899B3" w14:textId="77777777" w:rsidR="001867E9" w:rsidRDefault="001867E9">
          <w:pPr>
            <w:tabs>
              <w:tab w:val="left" w:pos="720"/>
              <w:tab w:val="left" w:pos="900"/>
              <w:tab w:val="left" w:pos="1260"/>
              <w:tab w:val="left" w:pos="1980"/>
            </w:tabs>
            <w:ind w:left="-108"/>
            <w:rPr>
              <w:rFonts w:ascii="Futura LT Book" w:hAnsi="Futura LT Book"/>
              <w:sz w:val="20"/>
            </w:rPr>
          </w:pPr>
        </w:p>
      </w:tc>
      <w:tc>
        <w:tcPr>
          <w:tcW w:w="1653" w:type="dxa"/>
        </w:tcPr>
        <w:p w14:paraId="589D41DD" w14:textId="77777777" w:rsidR="001867E9" w:rsidRDefault="001867E9">
          <w:pPr>
            <w:tabs>
              <w:tab w:val="left" w:pos="720"/>
              <w:tab w:val="left" w:pos="900"/>
              <w:tab w:val="left" w:pos="1260"/>
              <w:tab w:val="left" w:pos="1980"/>
            </w:tabs>
          </w:pPr>
        </w:p>
      </w:tc>
      <w:tc>
        <w:tcPr>
          <w:tcW w:w="4604" w:type="dxa"/>
        </w:tcPr>
        <w:p w14:paraId="23F4B353" w14:textId="77777777" w:rsidR="001867E9" w:rsidRDefault="001867E9">
          <w:pPr>
            <w:tabs>
              <w:tab w:val="left" w:pos="720"/>
              <w:tab w:val="left" w:pos="900"/>
              <w:tab w:val="left" w:pos="1260"/>
              <w:tab w:val="left" w:pos="1980"/>
            </w:tabs>
          </w:pPr>
        </w:p>
      </w:tc>
    </w:tr>
  </w:tbl>
  <w:p w14:paraId="1EAEF4F0" w14:textId="77777777" w:rsidR="001867E9" w:rsidRDefault="001867E9">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B622F"/>
    <w:multiLevelType w:val="multilevel"/>
    <w:tmpl w:val="F5289C9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10137EC"/>
    <w:multiLevelType w:val="multilevel"/>
    <w:tmpl w:val="9B6AAF36"/>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282628C"/>
    <w:multiLevelType w:val="multilevel"/>
    <w:tmpl w:val="A1281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4FA1FFA"/>
    <w:multiLevelType w:val="multilevel"/>
    <w:tmpl w:val="D16220E8"/>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07295D8C"/>
    <w:multiLevelType w:val="multilevel"/>
    <w:tmpl w:val="319A2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7741F5C"/>
    <w:multiLevelType w:val="multilevel"/>
    <w:tmpl w:val="982083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094E2F30"/>
    <w:multiLevelType w:val="hybridMultilevel"/>
    <w:tmpl w:val="882EB278"/>
    <w:lvl w:ilvl="0" w:tplc="04100001">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51C7BD3"/>
    <w:multiLevelType w:val="hybridMultilevel"/>
    <w:tmpl w:val="2520B12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5CD0245"/>
    <w:multiLevelType w:val="hybridMultilevel"/>
    <w:tmpl w:val="EF60F3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6A26FE0"/>
    <w:multiLevelType w:val="hybridMultilevel"/>
    <w:tmpl w:val="46E2C70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F286ABE"/>
    <w:multiLevelType w:val="multilevel"/>
    <w:tmpl w:val="95F2DE2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7B051BA"/>
    <w:multiLevelType w:val="hybridMultilevel"/>
    <w:tmpl w:val="E00A6D6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27B50C56"/>
    <w:multiLevelType w:val="hybridMultilevel"/>
    <w:tmpl w:val="DF5447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84236F8"/>
    <w:multiLevelType w:val="multilevel"/>
    <w:tmpl w:val="23C46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B993CB0"/>
    <w:multiLevelType w:val="hybridMultilevel"/>
    <w:tmpl w:val="B2BA06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7A75AC"/>
    <w:multiLevelType w:val="hybridMultilevel"/>
    <w:tmpl w:val="5FB898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5676A20"/>
    <w:multiLevelType w:val="hybridMultilevel"/>
    <w:tmpl w:val="2C5C0FF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5DC77EF"/>
    <w:multiLevelType w:val="hybridMultilevel"/>
    <w:tmpl w:val="723A8E36"/>
    <w:lvl w:ilvl="0" w:tplc="DB641552">
      <w:numFmt w:val="bullet"/>
      <w:lvlText w:val="-"/>
      <w:lvlJc w:val="left"/>
      <w:pPr>
        <w:ind w:left="405" w:hanging="360"/>
      </w:pPr>
      <w:rPr>
        <w:rFonts w:ascii="Calibri" w:eastAsia="Calibri" w:hAnsi="Calibri" w:cs="Times New Roman" w:hint="default"/>
        <w:b w:val="0"/>
      </w:rPr>
    </w:lvl>
    <w:lvl w:ilvl="1" w:tplc="04100003" w:tentative="1">
      <w:start w:val="1"/>
      <w:numFmt w:val="bullet"/>
      <w:lvlText w:val="o"/>
      <w:lvlJc w:val="left"/>
      <w:pPr>
        <w:ind w:left="1125" w:hanging="360"/>
      </w:pPr>
      <w:rPr>
        <w:rFonts w:ascii="Courier New" w:hAnsi="Courier New" w:cs="Courier New" w:hint="default"/>
      </w:rPr>
    </w:lvl>
    <w:lvl w:ilvl="2" w:tplc="04100005" w:tentative="1">
      <w:start w:val="1"/>
      <w:numFmt w:val="bullet"/>
      <w:lvlText w:val=""/>
      <w:lvlJc w:val="left"/>
      <w:pPr>
        <w:ind w:left="1845" w:hanging="360"/>
      </w:pPr>
      <w:rPr>
        <w:rFonts w:ascii="Wingdings" w:hAnsi="Wingdings" w:hint="default"/>
      </w:rPr>
    </w:lvl>
    <w:lvl w:ilvl="3" w:tplc="04100001" w:tentative="1">
      <w:start w:val="1"/>
      <w:numFmt w:val="bullet"/>
      <w:lvlText w:val=""/>
      <w:lvlJc w:val="left"/>
      <w:pPr>
        <w:ind w:left="2565" w:hanging="360"/>
      </w:pPr>
      <w:rPr>
        <w:rFonts w:ascii="Symbol" w:hAnsi="Symbol" w:hint="default"/>
      </w:rPr>
    </w:lvl>
    <w:lvl w:ilvl="4" w:tplc="04100003" w:tentative="1">
      <w:start w:val="1"/>
      <w:numFmt w:val="bullet"/>
      <w:lvlText w:val="o"/>
      <w:lvlJc w:val="left"/>
      <w:pPr>
        <w:ind w:left="3285" w:hanging="360"/>
      </w:pPr>
      <w:rPr>
        <w:rFonts w:ascii="Courier New" w:hAnsi="Courier New" w:cs="Courier New" w:hint="default"/>
      </w:rPr>
    </w:lvl>
    <w:lvl w:ilvl="5" w:tplc="04100005" w:tentative="1">
      <w:start w:val="1"/>
      <w:numFmt w:val="bullet"/>
      <w:lvlText w:val=""/>
      <w:lvlJc w:val="left"/>
      <w:pPr>
        <w:ind w:left="4005" w:hanging="360"/>
      </w:pPr>
      <w:rPr>
        <w:rFonts w:ascii="Wingdings" w:hAnsi="Wingdings" w:hint="default"/>
      </w:rPr>
    </w:lvl>
    <w:lvl w:ilvl="6" w:tplc="04100001" w:tentative="1">
      <w:start w:val="1"/>
      <w:numFmt w:val="bullet"/>
      <w:lvlText w:val=""/>
      <w:lvlJc w:val="left"/>
      <w:pPr>
        <w:ind w:left="4725" w:hanging="360"/>
      </w:pPr>
      <w:rPr>
        <w:rFonts w:ascii="Symbol" w:hAnsi="Symbol" w:hint="default"/>
      </w:rPr>
    </w:lvl>
    <w:lvl w:ilvl="7" w:tplc="04100003" w:tentative="1">
      <w:start w:val="1"/>
      <w:numFmt w:val="bullet"/>
      <w:lvlText w:val="o"/>
      <w:lvlJc w:val="left"/>
      <w:pPr>
        <w:ind w:left="5445" w:hanging="360"/>
      </w:pPr>
      <w:rPr>
        <w:rFonts w:ascii="Courier New" w:hAnsi="Courier New" w:cs="Courier New" w:hint="default"/>
      </w:rPr>
    </w:lvl>
    <w:lvl w:ilvl="8" w:tplc="04100005" w:tentative="1">
      <w:start w:val="1"/>
      <w:numFmt w:val="bullet"/>
      <w:lvlText w:val=""/>
      <w:lvlJc w:val="left"/>
      <w:pPr>
        <w:ind w:left="6165" w:hanging="360"/>
      </w:pPr>
      <w:rPr>
        <w:rFonts w:ascii="Wingdings" w:hAnsi="Wingdings" w:hint="default"/>
      </w:rPr>
    </w:lvl>
  </w:abstractNum>
  <w:abstractNum w:abstractNumId="18" w15:restartNumberingAfterBreak="0">
    <w:nsid w:val="37061663"/>
    <w:multiLevelType w:val="multilevel"/>
    <w:tmpl w:val="F5DCC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7FB4882"/>
    <w:multiLevelType w:val="multilevel"/>
    <w:tmpl w:val="AD82C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9F3522"/>
    <w:multiLevelType w:val="hybridMultilevel"/>
    <w:tmpl w:val="3B7ED684"/>
    <w:lvl w:ilvl="0" w:tplc="2CD8A1B6">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426C74DE"/>
    <w:multiLevelType w:val="multilevel"/>
    <w:tmpl w:val="596E4F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A294674"/>
    <w:multiLevelType w:val="multilevel"/>
    <w:tmpl w:val="103AC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0FB059B"/>
    <w:multiLevelType w:val="multilevel"/>
    <w:tmpl w:val="7E783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A3324E"/>
    <w:multiLevelType w:val="hybridMultilevel"/>
    <w:tmpl w:val="7996F344"/>
    <w:lvl w:ilvl="0" w:tplc="7FB239F2">
      <w:numFmt w:val="bullet"/>
      <w:lvlText w:val="-"/>
      <w:lvlJc w:val="left"/>
      <w:pPr>
        <w:ind w:left="720" w:hanging="360"/>
      </w:pPr>
      <w:rPr>
        <w:rFonts w:ascii="Calibri" w:eastAsia="Calibri"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556B225A"/>
    <w:multiLevelType w:val="hybridMultilevel"/>
    <w:tmpl w:val="00228D5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5A3F733E"/>
    <w:multiLevelType w:val="hybridMultilevel"/>
    <w:tmpl w:val="1B84E2D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BD759B1"/>
    <w:multiLevelType w:val="hybridMultilevel"/>
    <w:tmpl w:val="6A8E69E8"/>
    <w:lvl w:ilvl="0" w:tplc="2F3A281E">
      <w:start w:val="3"/>
      <w:numFmt w:val="bullet"/>
      <w:lvlText w:val="-"/>
      <w:lvlJc w:val="left"/>
      <w:pPr>
        <w:ind w:left="720" w:hanging="360"/>
      </w:pPr>
      <w:rPr>
        <w:rFonts w:ascii="Calibri Light" w:eastAsia="Times New Roman" w:hAnsi="Calibri Light" w:cs="Calibri Light"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7786270C"/>
    <w:multiLevelType w:val="hybridMultilevel"/>
    <w:tmpl w:val="DC5420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7A130918"/>
    <w:multiLevelType w:val="hybridMultilevel"/>
    <w:tmpl w:val="169232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BEE37CF"/>
    <w:multiLevelType w:val="hybridMultilevel"/>
    <w:tmpl w:val="59C66414"/>
    <w:lvl w:ilvl="0" w:tplc="04100001">
      <w:start w:val="1"/>
      <w:numFmt w:val="bullet"/>
      <w:lvlText w:val=""/>
      <w:lvlJc w:val="left"/>
      <w:pPr>
        <w:ind w:left="750" w:hanging="360"/>
      </w:pPr>
      <w:rPr>
        <w:rFonts w:ascii="Symbol" w:hAnsi="Symbol" w:hint="default"/>
      </w:rPr>
    </w:lvl>
    <w:lvl w:ilvl="1" w:tplc="04100003" w:tentative="1">
      <w:start w:val="1"/>
      <w:numFmt w:val="bullet"/>
      <w:lvlText w:val="o"/>
      <w:lvlJc w:val="left"/>
      <w:pPr>
        <w:ind w:left="1470" w:hanging="360"/>
      </w:pPr>
      <w:rPr>
        <w:rFonts w:ascii="Courier New" w:hAnsi="Courier New" w:cs="Courier New" w:hint="default"/>
      </w:rPr>
    </w:lvl>
    <w:lvl w:ilvl="2" w:tplc="04100005" w:tentative="1">
      <w:start w:val="1"/>
      <w:numFmt w:val="bullet"/>
      <w:lvlText w:val=""/>
      <w:lvlJc w:val="left"/>
      <w:pPr>
        <w:ind w:left="2190" w:hanging="360"/>
      </w:pPr>
      <w:rPr>
        <w:rFonts w:ascii="Wingdings" w:hAnsi="Wingdings" w:hint="default"/>
      </w:rPr>
    </w:lvl>
    <w:lvl w:ilvl="3" w:tplc="04100001" w:tentative="1">
      <w:start w:val="1"/>
      <w:numFmt w:val="bullet"/>
      <w:lvlText w:val=""/>
      <w:lvlJc w:val="left"/>
      <w:pPr>
        <w:ind w:left="2910" w:hanging="360"/>
      </w:pPr>
      <w:rPr>
        <w:rFonts w:ascii="Symbol" w:hAnsi="Symbol" w:hint="default"/>
      </w:rPr>
    </w:lvl>
    <w:lvl w:ilvl="4" w:tplc="04100003" w:tentative="1">
      <w:start w:val="1"/>
      <w:numFmt w:val="bullet"/>
      <w:lvlText w:val="o"/>
      <w:lvlJc w:val="left"/>
      <w:pPr>
        <w:ind w:left="3630" w:hanging="360"/>
      </w:pPr>
      <w:rPr>
        <w:rFonts w:ascii="Courier New" w:hAnsi="Courier New" w:cs="Courier New" w:hint="default"/>
      </w:rPr>
    </w:lvl>
    <w:lvl w:ilvl="5" w:tplc="04100005" w:tentative="1">
      <w:start w:val="1"/>
      <w:numFmt w:val="bullet"/>
      <w:lvlText w:val=""/>
      <w:lvlJc w:val="left"/>
      <w:pPr>
        <w:ind w:left="4350" w:hanging="360"/>
      </w:pPr>
      <w:rPr>
        <w:rFonts w:ascii="Wingdings" w:hAnsi="Wingdings" w:hint="default"/>
      </w:rPr>
    </w:lvl>
    <w:lvl w:ilvl="6" w:tplc="04100001" w:tentative="1">
      <w:start w:val="1"/>
      <w:numFmt w:val="bullet"/>
      <w:lvlText w:val=""/>
      <w:lvlJc w:val="left"/>
      <w:pPr>
        <w:ind w:left="5070" w:hanging="360"/>
      </w:pPr>
      <w:rPr>
        <w:rFonts w:ascii="Symbol" w:hAnsi="Symbol" w:hint="default"/>
      </w:rPr>
    </w:lvl>
    <w:lvl w:ilvl="7" w:tplc="04100003" w:tentative="1">
      <w:start w:val="1"/>
      <w:numFmt w:val="bullet"/>
      <w:lvlText w:val="o"/>
      <w:lvlJc w:val="left"/>
      <w:pPr>
        <w:ind w:left="5790" w:hanging="360"/>
      </w:pPr>
      <w:rPr>
        <w:rFonts w:ascii="Courier New" w:hAnsi="Courier New" w:cs="Courier New" w:hint="default"/>
      </w:rPr>
    </w:lvl>
    <w:lvl w:ilvl="8" w:tplc="04100005" w:tentative="1">
      <w:start w:val="1"/>
      <w:numFmt w:val="bullet"/>
      <w:lvlText w:val=""/>
      <w:lvlJc w:val="left"/>
      <w:pPr>
        <w:ind w:left="6510" w:hanging="360"/>
      </w:pPr>
      <w:rPr>
        <w:rFonts w:ascii="Wingdings" w:hAnsi="Wingdings" w:hint="default"/>
      </w:rPr>
    </w:lvl>
  </w:abstractNum>
  <w:abstractNum w:abstractNumId="31" w15:restartNumberingAfterBreak="0">
    <w:nsid w:val="7F5068F5"/>
    <w:multiLevelType w:val="hybridMultilevel"/>
    <w:tmpl w:val="D092FEF2"/>
    <w:lvl w:ilvl="0" w:tplc="EC980EE6">
      <w:start w:val="3"/>
      <w:numFmt w:val="bullet"/>
      <w:lvlText w:val="-"/>
      <w:lvlJc w:val="left"/>
      <w:pPr>
        <w:ind w:left="720" w:hanging="360"/>
      </w:pPr>
      <w:rPr>
        <w:rFonts w:ascii="Calibri Light" w:eastAsia="Calibri" w:hAnsi="Calibri Light"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1"/>
  </w:num>
  <w:num w:numId="4">
    <w:abstractNumId w:val="11"/>
  </w:num>
  <w:num w:numId="5">
    <w:abstractNumId w:val="2"/>
  </w:num>
  <w:num w:numId="6">
    <w:abstractNumId w:val="12"/>
  </w:num>
  <w:num w:numId="7">
    <w:abstractNumId w:val="15"/>
  </w:num>
  <w:num w:numId="8">
    <w:abstractNumId w:val="25"/>
  </w:num>
  <w:num w:numId="9">
    <w:abstractNumId w:val="29"/>
  </w:num>
  <w:num w:numId="10">
    <w:abstractNumId w:val="24"/>
  </w:num>
  <w:num w:numId="11">
    <w:abstractNumId w:val="13"/>
  </w:num>
  <w:num w:numId="12">
    <w:abstractNumId w:val="22"/>
  </w:num>
  <w:num w:numId="13">
    <w:abstractNumId w:val="5"/>
  </w:num>
  <w:num w:numId="14">
    <w:abstractNumId w:val="10"/>
  </w:num>
  <w:num w:numId="15">
    <w:abstractNumId w:val="0"/>
  </w:num>
  <w:num w:numId="16">
    <w:abstractNumId w:val="3"/>
  </w:num>
  <w:num w:numId="17">
    <w:abstractNumId w:val="17"/>
  </w:num>
  <w:num w:numId="18">
    <w:abstractNumId w:val="1"/>
  </w:num>
  <w:num w:numId="19">
    <w:abstractNumId w:val="26"/>
  </w:num>
  <w:num w:numId="20">
    <w:abstractNumId w:val="18"/>
  </w:num>
  <w:num w:numId="21">
    <w:abstractNumId w:val="7"/>
  </w:num>
  <w:num w:numId="22">
    <w:abstractNumId w:val="28"/>
  </w:num>
  <w:num w:numId="23">
    <w:abstractNumId w:val="14"/>
  </w:num>
  <w:num w:numId="24">
    <w:abstractNumId w:val="8"/>
  </w:num>
  <w:num w:numId="25">
    <w:abstractNumId w:val="4"/>
  </w:num>
  <w:num w:numId="26">
    <w:abstractNumId w:val="6"/>
  </w:num>
  <w:num w:numId="27">
    <w:abstractNumId w:val="27"/>
  </w:num>
  <w:num w:numId="28">
    <w:abstractNumId w:val="23"/>
  </w:num>
  <w:num w:numId="29">
    <w:abstractNumId w:val="9"/>
  </w:num>
  <w:num w:numId="30">
    <w:abstractNumId w:val="30"/>
  </w:num>
  <w:num w:numId="31">
    <w:abstractNumId w:val="19"/>
  </w:num>
  <w:num w:numId="32">
    <w:abstractNumId w:val="3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7418"/>
    <w:rsid w:val="000013D4"/>
    <w:rsid w:val="000018C4"/>
    <w:rsid w:val="00002340"/>
    <w:rsid w:val="00010B0E"/>
    <w:rsid w:val="00010EAC"/>
    <w:rsid w:val="00012716"/>
    <w:rsid w:val="000143BB"/>
    <w:rsid w:val="00014CFE"/>
    <w:rsid w:val="00030A72"/>
    <w:rsid w:val="000369D4"/>
    <w:rsid w:val="00037418"/>
    <w:rsid w:val="00040CFB"/>
    <w:rsid w:val="0004674A"/>
    <w:rsid w:val="00052071"/>
    <w:rsid w:val="000539CB"/>
    <w:rsid w:val="00053A2C"/>
    <w:rsid w:val="000604EE"/>
    <w:rsid w:val="000614F9"/>
    <w:rsid w:val="000625BE"/>
    <w:rsid w:val="000637F2"/>
    <w:rsid w:val="00080ADD"/>
    <w:rsid w:val="00084DD6"/>
    <w:rsid w:val="00086200"/>
    <w:rsid w:val="00087150"/>
    <w:rsid w:val="00090452"/>
    <w:rsid w:val="0009085F"/>
    <w:rsid w:val="00091677"/>
    <w:rsid w:val="00094BA5"/>
    <w:rsid w:val="000969C3"/>
    <w:rsid w:val="000A323E"/>
    <w:rsid w:val="000A39AE"/>
    <w:rsid w:val="000A4D82"/>
    <w:rsid w:val="000B06C6"/>
    <w:rsid w:val="000B0E2B"/>
    <w:rsid w:val="000B2103"/>
    <w:rsid w:val="000B75FE"/>
    <w:rsid w:val="000B7F4A"/>
    <w:rsid w:val="000C53BB"/>
    <w:rsid w:val="000C6553"/>
    <w:rsid w:val="000D0123"/>
    <w:rsid w:val="000D36C6"/>
    <w:rsid w:val="000D4668"/>
    <w:rsid w:val="000D4ADA"/>
    <w:rsid w:val="000E38C9"/>
    <w:rsid w:val="000E5391"/>
    <w:rsid w:val="000E6DB1"/>
    <w:rsid w:val="000F19AF"/>
    <w:rsid w:val="00100C48"/>
    <w:rsid w:val="00103B58"/>
    <w:rsid w:val="0010566D"/>
    <w:rsid w:val="00126D4F"/>
    <w:rsid w:val="001311CA"/>
    <w:rsid w:val="00134010"/>
    <w:rsid w:val="00136808"/>
    <w:rsid w:val="00151B1D"/>
    <w:rsid w:val="00151BDD"/>
    <w:rsid w:val="00160F19"/>
    <w:rsid w:val="00162768"/>
    <w:rsid w:val="001674E2"/>
    <w:rsid w:val="00172666"/>
    <w:rsid w:val="00181F9E"/>
    <w:rsid w:val="001867E9"/>
    <w:rsid w:val="001A0EA6"/>
    <w:rsid w:val="001A46F2"/>
    <w:rsid w:val="001A61DB"/>
    <w:rsid w:val="001B0373"/>
    <w:rsid w:val="001B1366"/>
    <w:rsid w:val="001C016B"/>
    <w:rsid w:val="001C5C73"/>
    <w:rsid w:val="001D46AD"/>
    <w:rsid w:val="001D783D"/>
    <w:rsid w:val="001D7F3D"/>
    <w:rsid w:val="001E0909"/>
    <w:rsid w:val="001E1A02"/>
    <w:rsid w:val="001E720B"/>
    <w:rsid w:val="001F202A"/>
    <w:rsid w:val="001F3465"/>
    <w:rsid w:val="001F48AB"/>
    <w:rsid w:val="0020292B"/>
    <w:rsid w:val="00206722"/>
    <w:rsid w:val="00210ED4"/>
    <w:rsid w:val="002113BA"/>
    <w:rsid w:val="002166C4"/>
    <w:rsid w:val="00216BD5"/>
    <w:rsid w:val="002216DD"/>
    <w:rsid w:val="0022540F"/>
    <w:rsid w:val="00230989"/>
    <w:rsid w:val="002360B0"/>
    <w:rsid w:val="002375D8"/>
    <w:rsid w:val="00237B46"/>
    <w:rsid w:val="00242295"/>
    <w:rsid w:val="00254095"/>
    <w:rsid w:val="00262647"/>
    <w:rsid w:val="002650B4"/>
    <w:rsid w:val="002655A5"/>
    <w:rsid w:val="00265FD1"/>
    <w:rsid w:val="00267F8E"/>
    <w:rsid w:val="00270D53"/>
    <w:rsid w:val="0027190F"/>
    <w:rsid w:val="00271FB0"/>
    <w:rsid w:val="0027421E"/>
    <w:rsid w:val="002743DA"/>
    <w:rsid w:val="002905C3"/>
    <w:rsid w:val="00293463"/>
    <w:rsid w:val="00297F87"/>
    <w:rsid w:val="002A6DFD"/>
    <w:rsid w:val="002B7EEB"/>
    <w:rsid w:val="002D246E"/>
    <w:rsid w:val="002D2B28"/>
    <w:rsid w:val="002E4047"/>
    <w:rsid w:val="00300CDB"/>
    <w:rsid w:val="00306EA7"/>
    <w:rsid w:val="003114C4"/>
    <w:rsid w:val="00322729"/>
    <w:rsid w:val="00322EE8"/>
    <w:rsid w:val="00326815"/>
    <w:rsid w:val="003347DC"/>
    <w:rsid w:val="003360E9"/>
    <w:rsid w:val="0034265F"/>
    <w:rsid w:val="00350EF3"/>
    <w:rsid w:val="00363BF8"/>
    <w:rsid w:val="003768B3"/>
    <w:rsid w:val="00377E37"/>
    <w:rsid w:val="00385BAE"/>
    <w:rsid w:val="003944BF"/>
    <w:rsid w:val="00395392"/>
    <w:rsid w:val="003A5BAA"/>
    <w:rsid w:val="003A759E"/>
    <w:rsid w:val="003B2134"/>
    <w:rsid w:val="003B6D95"/>
    <w:rsid w:val="003B7ED2"/>
    <w:rsid w:val="003C19FB"/>
    <w:rsid w:val="003E5874"/>
    <w:rsid w:val="003E63C1"/>
    <w:rsid w:val="0041047E"/>
    <w:rsid w:val="0041177C"/>
    <w:rsid w:val="0042052A"/>
    <w:rsid w:val="0042117E"/>
    <w:rsid w:val="004353E3"/>
    <w:rsid w:val="004414A4"/>
    <w:rsid w:val="00442812"/>
    <w:rsid w:val="004435C3"/>
    <w:rsid w:val="00445DF1"/>
    <w:rsid w:val="00454209"/>
    <w:rsid w:val="00461827"/>
    <w:rsid w:val="00465747"/>
    <w:rsid w:val="00466A5F"/>
    <w:rsid w:val="00472D2B"/>
    <w:rsid w:val="00474ADE"/>
    <w:rsid w:val="00481D3A"/>
    <w:rsid w:val="00483E55"/>
    <w:rsid w:val="004963B3"/>
    <w:rsid w:val="004A2213"/>
    <w:rsid w:val="004A43B9"/>
    <w:rsid w:val="004A5095"/>
    <w:rsid w:val="004B0EF1"/>
    <w:rsid w:val="004B5C7B"/>
    <w:rsid w:val="004B691C"/>
    <w:rsid w:val="004C1CE6"/>
    <w:rsid w:val="004C2CC8"/>
    <w:rsid w:val="004D48E8"/>
    <w:rsid w:val="004D4957"/>
    <w:rsid w:val="004E0C94"/>
    <w:rsid w:val="004E62C8"/>
    <w:rsid w:val="004F2D22"/>
    <w:rsid w:val="00517FCD"/>
    <w:rsid w:val="00520F32"/>
    <w:rsid w:val="0053112D"/>
    <w:rsid w:val="00531CA4"/>
    <w:rsid w:val="00532215"/>
    <w:rsid w:val="00532542"/>
    <w:rsid w:val="00546306"/>
    <w:rsid w:val="00552D0E"/>
    <w:rsid w:val="005615FE"/>
    <w:rsid w:val="00562252"/>
    <w:rsid w:val="00565BA4"/>
    <w:rsid w:val="00570DF9"/>
    <w:rsid w:val="00571AA5"/>
    <w:rsid w:val="00580D22"/>
    <w:rsid w:val="005952A0"/>
    <w:rsid w:val="005A2227"/>
    <w:rsid w:val="005A2FBD"/>
    <w:rsid w:val="005A6420"/>
    <w:rsid w:val="005A68AC"/>
    <w:rsid w:val="005B68CD"/>
    <w:rsid w:val="005C35FE"/>
    <w:rsid w:val="005C488C"/>
    <w:rsid w:val="005D2783"/>
    <w:rsid w:val="005D3F4A"/>
    <w:rsid w:val="005D58C7"/>
    <w:rsid w:val="005E05F4"/>
    <w:rsid w:val="005E29D1"/>
    <w:rsid w:val="005E2A6A"/>
    <w:rsid w:val="005E5E6F"/>
    <w:rsid w:val="005E694F"/>
    <w:rsid w:val="005F136F"/>
    <w:rsid w:val="00600B26"/>
    <w:rsid w:val="00606C5A"/>
    <w:rsid w:val="0061424A"/>
    <w:rsid w:val="00617528"/>
    <w:rsid w:val="00633A04"/>
    <w:rsid w:val="00635558"/>
    <w:rsid w:val="006370DF"/>
    <w:rsid w:val="006411A6"/>
    <w:rsid w:val="006411DF"/>
    <w:rsid w:val="00642F4B"/>
    <w:rsid w:val="00654840"/>
    <w:rsid w:val="00662EE8"/>
    <w:rsid w:val="00673C44"/>
    <w:rsid w:val="00684F34"/>
    <w:rsid w:val="00686CD4"/>
    <w:rsid w:val="0069445C"/>
    <w:rsid w:val="00696623"/>
    <w:rsid w:val="006A2CD6"/>
    <w:rsid w:val="006B1B06"/>
    <w:rsid w:val="006C0F54"/>
    <w:rsid w:val="006C5530"/>
    <w:rsid w:val="006C6827"/>
    <w:rsid w:val="006D0A9E"/>
    <w:rsid w:val="006D187D"/>
    <w:rsid w:val="006E4E22"/>
    <w:rsid w:val="006E64CC"/>
    <w:rsid w:val="006E71D6"/>
    <w:rsid w:val="006F103B"/>
    <w:rsid w:val="006F3D2C"/>
    <w:rsid w:val="006F4A89"/>
    <w:rsid w:val="007006D5"/>
    <w:rsid w:val="00706997"/>
    <w:rsid w:val="00710780"/>
    <w:rsid w:val="007120A3"/>
    <w:rsid w:val="007212D6"/>
    <w:rsid w:val="00721719"/>
    <w:rsid w:val="007248A8"/>
    <w:rsid w:val="00724906"/>
    <w:rsid w:val="007268E0"/>
    <w:rsid w:val="007278BF"/>
    <w:rsid w:val="00727E86"/>
    <w:rsid w:val="00730857"/>
    <w:rsid w:val="007336E8"/>
    <w:rsid w:val="007405DF"/>
    <w:rsid w:val="00743781"/>
    <w:rsid w:val="00744DE8"/>
    <w:rsid w:val="00747106"/>
    <w:rsid w:val="0075722D"/>
    <w:rsid w:val="00764518"/>
    <w:rsid w:val="00777439"/>
    <w:rsid w:val="00783E6E"/>
    <w:rsid w:val="007846D1"/>
    <w:rsid w:val="007872ED"/>
    <w:rsid w:val="007900D5"/>
    <w:rsid w:val="007911A1"/>
    <w:rsid w:val="00792D99"/>
    <w:rsid w:val="00793849"/>
    <w:rsid w:val="00796CE5"/>
    <w:rsid w:val="007A106A"/>
    <w:rsid w:val="007A4BC4"/>
    <w:rsid w:val="007B0324"/>
    <w:rsid w:val="007B0D7B"/>
    <w:rsid w:val="007B28C2"/>
    <w:rsid w:val="007B4F16"/>
    <w:rsid w:val="007B72D4"/>
    <w:rsid w:val="007B7550"/>
    <w:rsid w:val="007C1279"/>
    <w:rsid w:val="007D0756"/>
    <w:rsid w:val="007D102D"/>
    <w:rsid w:val="007D346E"/>
    <w:rsid w:val="007E02A8"/>
    <w:rsid w:val="007E1CB1"/>
    <w:rsid w:val="007E52F6"/>
    <w:rsid w:val="007E7A85"/>
    <w:rsid w:val="007F1200"/>
    <w:rsid w:val="007F283D"/>
    <w:rsid w:val="007F7D2A"/>
    <w:rsid w:val="008009D5"/>
    <w:rsid w:val="00801AE3"/>
    <w:rsid w:val="0080382C"/>
    <w:rsid w:val="008050CE"/>
    <w:rsid w:val="00812C76"/>
    <w:rsid w:val="00814B6A"/>
    <w:rsid w:val="0082055D"/>
    <w:rsid w:val="00827AA4"/>
    <w:rsid w:val="0083206A"/>
    <w:rsid w:val="008324D4"/>
    <w:rsid w:val="00842CAC"/>
    <w:rsid w:val="00846546"/>
    <w:rsid w:val="0089242A"/>
    <w:rsid w:val="00895D5A"/>
    <w:rsid w:val="008A68D2"/>
    <w:rsid w:val="008B5620"/>
    <w:rsid w:val="008C1727"/>
    <w:rsid w:val="008C21F3"/>
    <w:rsid w:val="008C6FB9"/>
    <w:rsid w:val="008D047B"/>
    <w:rsid w:val="008D2D79"/>
    <w:rsid w:val="008E4D83"/>
    <w:rsid w:val="008F7F38"/>
    <w:rsid w:val="0091416E"/>
    <w:rsid w:val="009218B7"/>
    <w:rsid w:val="0092313F"/>
    <w:rsid w:val="00924F70"/>
    <w:rsid w:val="009259DA"/>
    <w:rsid w:val="00930421"/>
    <w:rsid w:val="00933A9A"/>
    <w:rsid w:val="00935FD9"/>
    <w:rsid w:val="00936AC3"/>
    <w:rsid w:val="009439A2"/>
    <w:rsid w:val="00943AF3"/>
    <w:rsid w:val="00947B49"/>
    <w:rsid w:val="00951362"/>
    <w:rsid w:val="00952E48"/>
    <w:rsid w:val="0095764F"/>
    <w:rsid w:val="00962B81"/>
    <w:rsid w:val="00964D43"/>
    <w:rsid w:val="0096617B"/>
    <w:rsid w:val="00972881"/>
    <w:rsid w:val="00994DE8"/>
    <w:rsid w:val="009A181B"/>
    <w:rsid w:val="009A600B"/>
    <w:rsid w:val="009B370B"/>
    <w:rsid w:val="009B6DA0"/>
    <w:rsid w:val="009B7F38"/>
    <w:rsid w:val="009C5511"/>
    <w:rsid w:val="009C66FF"/>
    <w:rsid w:val="009D0AE2"/>
    <w:rsid w:val="009D26C3"/>
    <w:rsid w:val="009D42AF"/>
    <w:rsid w:val="009E0FC5"/>
    <w:rsid w:val="009E313A"/>
    <w:rsid w:val="009E718E"/>
    <w:rsid w:val="009F00C9"/>
    <w:rsid w:val="009F30D5"/>
    <w:rsid w:val="009F6C25"/>
    <w:rsid w:val="009F77CF"/>
    <w:rsid w:val="00A00CC0"/>
    <w:rsid w:val="00A00EBE"/>
    <w:rsid w:val="00A02167"/>
    <w:rsid w:val="00A029CB"/>
    <w:rsid w:val="00A029FA"/>
    <w:rsid w:val="00A100C9"/>
    <w:rsid w:val="00A108C5"/>
    <w:rsid w:val="00A12007"/>
    <w:rsid w:val="00A2160D"/>
    <w:rsid w:val="00A238E8"/>
    <w:rsid w:val="00A24ACC"/>
    <w:rsid w:val="00A27F82"/>
    <w:rsid w:val="00A35E9C"/>
    <w:rsid w:val="00A421FD"/>
    <w:rsid w:val="00A554C8"/>
    <w:rsid w:val="00A5706E"/>
    <w:rsid w:val="00A60F3E"/>
    <w:rsid w:val="00A65A7B"/>
    <w:rsid w:val="00A66073"/>
    <w:rsid w:val="00A66B46"/>
    <w:rsid w:val="00A72245"/>
    <w:rsid w:val="00A7325D"/>
    <w:rsid w:val="00A874BE"/>
    <w:rsid w:val="00A92403"/>
    <w:rsid w:val="00A94F5D"/>
    <w:rsid w:val="00AA3206"/>
    <w:rsid w:val="00AA755B"/>
    <w:rsid w:val="00AA7A03"/>
    <w:rsid w:val="00AB5961"/>
    <w:rsid w:val="00AC09F6"/>
    <w:rsid w:val="00AC0DA4"/>
    <w:rsid w:val="00AC1A58"/>
    <w:rsid w:val="00AC363E"/>
    <w:rsid w:val="00AC7651"/>
    <w:rsid w:val="00AD53C0"/>
    <w:rsid w:val="00AD6736"/>
    <w:rsid w:val="00AE3B49"/>
    <w:rsid w:val="00AE4116"/>
    <w:rsid w:val="00AE4612"/>
    <w:rsid w:val="00AE484B"/>
    <w:rsid w:val="00AE7C4C"/>
    <w:rsid w:val="00AF1207"/>
    <w:rsid w:val="00AF303A"/>
    <w:rsid w:val="00AF4404"/>
    <w:rsid w:val="00AF4D79"/>
    <w:rsid w:val="00AF6300"/>
    <w:rsid w:val="00B00A2F"/>
    <w:rsid w:val="00B1385A"/>
    <w:rsid w:val="00B20995"/>
    <w:rsid w:val="00B27B4F"/>
    <w:rsid w:val="00B27DA0"/>
    <w:rsid w:val="00B34B96"/>
    <w:rsid w:val="00B44EC6"/>
    <w:rsid w:val="00B55997"/>
    <w:rsid w:val="00B56F41"/>
    <w:rsid w:val="00B74B3D"/>
    <w:rsid w:val="00B90950"/>
    <w:rsid w:val="00B954F6"/>
    <w:rsid w:val="00B9787B"/>
    <w:rsid w:val="00B97A78"/>
    <w:rsid w:val="00BA3F4B"/>
    <w:rsid w:val="00BA6BD6"/>
    <w:rsid w:val="00BA7B76"/>
    <w:rsid w:val="00BB7D4D"/>
    <w:rsid w:val="00BB7D99"/>
    <w:rsid w:val="00BC0691"/>
    <w:rsid w:val="00BC32D4"/>
    <w:rsid w:val="00BC4801"/>
    <w:rsid w:val="00BC5242"/>
    <w:rsid w:val="00BD0AB9"/>
    <w:rsid w:val="00BD3C2C"/>
    <w:rsid w:val="00BD60DB"/>
    <w:rsid w:val="00BE3C2A"/>
    <w:rsid w:val="00BF5417"/>
    <w:rsid w:val="00C10A7A"/>
    <w:rsid w:val="00C13B4C"/>
    <w:rsid w:val="00C24A9A"/>
    <w:rsid w:val="00C27714"/>
    <w:rsid w:val="00C3700B"/>
    <w:rsid w:val="00C433AC"/>
    <w:rsid w:val="00C46AA6"/>
    <w:rsid w:val="00C6046C"/>
    <w:rsid w:val="00C61BFC"/>
    <w:rsid w:val="00C6483F"/>
    <w:rsid w:val="00C7079A"/>
    <w:rsid w:val="00C82C7A"/>
    <w:rsid w:val="00C92C40"/>
    <w:rsid w:val="00C93D89"/>
    <w:rsid w:val="00C96C69"/>
    <w:rsid w:val="00CA1FD0"/>
    <w:rsid w:val="00CA32BA"/>
    <w:rsid w:val="00CA5FB4"/>
    <w:rsid w:val="00CA677D"/>
    <w:rsid w:val="00CB0B8E"/>
    <w:rsid w:val="00CB1898"/>
    <w:rsid w:val="00CB302D"/>
    <w:rsid w:val="00CC42BA"/>
    <w:rsid w:val="00CC5C44"/>
    <w:rsid w:val="00CD2F0A"/>
    <w:rsid w:val="00CD4A8E"/>
    <w:rsid w:val="00CF2B9F"/>
    <w:rsid w:val="00D04B92"/>
    <w:rsid w:val="00D05B8F"/>
    <w:rsid w:val="00D06063"/>
    <w:rsid w:val="00D102CD"/>
    <w:rsid w:val="00D12686"/>
    <w:rsid w:val="00D12E1E"/>
    <w:rsid w:val="00D13CAB"/>
    <w:rsid w:val="00D21307"/>
    <w:rsid w:val="00D2250C"/>
    <w:rsid w:val="00D24A1C"/>
    <w:rsid w:val="00D25CF8"/>
    <w:rsid w:val="00D27A1C"/>
    <w:rsid w:val="00D30E39"/>
    <w:rsid w:val="00D327D9"/>
    <w:rsid w:val="00D32FC7"/>
    <w:rsid w:val="00D35077"/>
    <w:rsid w:val="00D403FB"/>
    <w:rsid w:val="00D44C59"/>
    <w:rsid w:val="00D44D11"/>
    <w:rsid w:val="00D46D8F"/>
    <w:rsid w:val="00D50F2A"/>
    <w:rsid w:val="00D54D0D"/>
    <w:rsid w:val="00D551CF"/>
    <w:rsid w:val="00D66BBB"/>
    <w:rsid w:val="00D70745"/>
    <w:rsid w:val="00D71FF5"/>
    <w:rsid w:val="00D74092"/>
    <w:rsid w:val="00D77E54"/>
    <w:rsid w:val="00DA26BC"/>
    <w:rsid w:val="00DA4273"/>
    <w:rsid w:val="00DA5995"/>
    <w:rsid w:val="00DB3985"/>
    <w:rsid w:val="00DB4953"/>
    <w:rsid w:val="00DC0ED4"/>
    <w:rsid w:val="00DC7F97"/>
    <w:rsid w:val="00DD019F"/>
    <w:rsid w:val="00DE72E8"/>
    <w:rsid w:val="00DF5163"/>
    <w:rsid w:val="00DF7579"/>
    <w:rsid w:val="00E00F2C"/>
    <w:rsid w:val="00E07BDC"/>
    <w:rsid w:val="00E15415"/>
    <w:rsid w:val="00E20570"/>
    <w:rsid w:val="00E209CB"/>
    <w:rsid w:val="00E25D34"/>
    <w:rsid w:val="00E273B4"/>
    <w:rsid w:val="00E31E8B"/>
    <w:rsid w:val="00E36D39"/>
    <w:rsid w:val="00E44B8E"/>
    <w:rsid w:val="00E47D5B"/>
    <w:rsid w:val="00E5260E"/>
    <w:rsid w:val="00E56C4C"/>
    <w:rsid w:val="00E71549"/>
    <w:rsid w:val="00E71CEB"/>
    <w:rsid w:val="00E74979"/>
    <w:rsid w:val="00E8356D"/>
    <w:rsid w:val="00E906B5"/>
    <w:rsid w:val="00E909DF"/>
    <w:rsid w:val="00EA4465"/>
    <w:rsid w:val="00EA5B17"/>
    <w:rsid w:val="00EB1B2C"/>
    <w:rsid w:val="00EB5F34"/>
    <w:rsid w:val="00EB6196"/>
    <w:rsid w:val="00EC0D5D"/>
    <w:rsid w:val="00EC1013"/>
    <w:rsid w:val="00EC3D1F"/>
    <w:rsid w:val="00ED1726"/>
    <w:rsid w:val="00ED2018"/>
    <w:rsid w:val="00ED2B9F"/>
    <w:rsid w:val="00ED6E2C"/>
    <w:rsid w:val="00ED7B1E"/>
    <w:rsid w:val="00EE18FB"/>
    <w:rsid w:val="00EE4876"/>
    <w:rsid w:val="00EE4CEA"/>
    <w:rsid w:val="00EF69AE"/>
    <w:rsid w:val="00F0608B"/>
    <w:rsid w:val="00F120FE"/>
    <w:rsid w:val="00F15475"/>
    <w:rsid w:val="00F169DE"/>
    <w:rsid w:val="00F23D65"/>
    <w:rsid w:val="00F31A89"/>
    <w:rsid w:val="00F32A75"/>
    <w:rsid w:val="00F33005"/>
    <w:rsid w:val="00F34EA1"/>
    <w:rsid w:val="00F4051C"/>
    <w:rsid w:val="00F4172D"/>
    <w:rsid w:val="00F4663F"/>
    <w:rsid w:val="00F51DA0"/>
    <w:rsid w:val="00F52882"/>
    <w:rsid w:val="00F53831"/>
    <w:rsid w:val="00F53938"/>
    <w:rsid w:val="00F53F66"/>
    <w:rsid w:val="00F60480"/>
    <w:rsid w:val="00F623AC"/>
    <w:rsid w:val="00F718A4"/>
    <w:rsid w:val="00F804E0"/>
    <w:rsid w:val="00F80976"/>
    <w:rsid w:val="00F81262"/>
    <w:rsid w:val="00F81771"/>
    <w:rsid w:val="00F9163B"/>
    <w:rsid w:val="00F920E8"/>
    <w:rsid w:val="00F94CCF"/>
    <w:rsid w:val="00FA4B03"/>
    <w:rsid w:val="00FA52B2"/>
    <w:rsid w:val="00FC5166"/>
    <w:rsid w:val="00FC53D5"/>
    <w:rsid w:val="00FC6664"/>
    <w:rsid w:val="00FC7F5F"/>
    <w:rsid w:val="00FD401E"/>
    <w:rsid w:val="00FD4772"/>
    <w:rsid w:val="00FD789D"/>
    <w:rsid w:val="00FE3CA4"/>
    <w:rsid w:val="00FE5704"/>
    <w:rsid w:val="00FF086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D7E19B"/>
  <w15:docId w15:val="{AC4CA1ED-655B-4B83-9704-4CC53F2C2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D26C3"/>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Pr>
      <w:rFonts w:ascii="Tahoma" w:hAnsi="Tahoma" w:cs="Tahoma"/>
      <w:sz w:val="16"/>
      <w:szCs w:val="16"/>
    </w:rPr>
  </w:style>
  <w:style w:type="paragraph" w:styleId="Intestazione">
    <w:name w:val="header"/>
    <w:basedOn w:val="Normale"/>
    <w:pPr>
      <w:tabs>
        <w:tab w:val="center" w:pos="4819"/>
        <w:tab w:val="right" w:pos="9638"/>
      </w:tabs>
    </w:pPr>
  </w:style>
  <w:style w:type="paragraph" w:styleId="Pidipagina">
    <w:name w:val="footer"/>
    <w:basedOn w:val="Normale"/>
    <w:pPr>
      <w:tabs>
        <w:tab w:val="center" w:pos="4819"/>
        <w:tab w:val="right" w:pos="9638"/>
      </w:tabs>
    </w:pPr>
  </w:style>
  <w:style w:type="character" w:styleId="Collegamentoipertestuale">
    <w:name w:val="Hyperlink"/>
    <w:uiPriority w:val="99"/>
    <w:rPr>
      <w:color w:val="0000FF"/>
      <w:u w:val="single"/>
    </w:rPr>
  </w:style>
  <w:style w:type="paragraph" w:styleId="Paragrafoelenco">
    <w:name w:val="List Paragraph"/>
    <w:basedOn w:val="Normale"/>
    <w:uiPriority w:val="34"/>
    <w:qFormat/>
    <w:rsid w:val="00952E48"/>
    <w:pPr>
      <w:spacing w:after="160" w:line="259" w:lineRule="auto"/>
      <w:ind w:left="720"/>
      <w:contextualSpacing/>
    </w:pPr>
    <w:rPr>
      <w:rFonts w:ascii="Calibri" w:eastAsia="Calibri" w:hAnsi="Calibri"/>
      <w:sz w:val="22"/>
      <w:szCs w:val="22"/>
      <w:lang w:eastAsia="en-US"/>
    </w:rPr>
  </w:style>
  <w:style w:type="paragraph" w:customStyle="1" w:styleId="Default">
    <w:name w:val="Default"/>
    <w:rsid w:val="008F7F38"/>
    <w:pPr>
      <w:autoSpaceDE w:val="0"/>
      <w:autoSpaceDN w:val="0"/>
      <w:adjustRightInd w:val="0"/>
    </w:pPr>
    <w:rPr>
      <w:rFonts w:eastAsia="Calibri"/>
      <w:color w:val="000000"/>
      <w:sz w:val="24"/>
      <w:szCs w:val="24"/>
      <w:lang w:eastAsia="en-US"/>
    </w:rPr>
  </w:style>
  <w:style w:type="character" w:styleId="Menzionenonrisolta">
    <w:name w:val="Unresolved Mention"/>
    <w:uiPriority w:val="99"/>
    <w:semiHidden/>
    <w:unhideWhenUsed/>
    <w:rsid w:val="003347DC"/>
    <w:rPr>
      <w:color w:val="605E5C"/>
      <w:shd w:val="clear" w:color="auto" w:fill="E1DFDD"/>
    </w:rPr>
  </w:style>
  <w:style w:type="character" w:styleId="Enfasigrassetto">
    <w:name w:val="Strong"/>
    <w:uiPriority w:val="22"/>
    <w:qFormat/>
    <w:rsid w:val="0009085F"/>
    <w:rPr>
      <w:b/>
      <w:bCs/>
    </w:rPr>
  </w:style>
  <w:style w:type="paragraph" w:styleId="NormaleWeb">
    <w:name w:val="Normal (Web)"/>
    <w:basedOn w:val="Normale"/>
    <w:uiPriority w:val="99"/>
    <w:semiHidden/>
    <w:unhideWhenUsed/>
    <w:rsid w:val="00C93D89"/>
  </w:style>
  <w:style w:type="character" w:styleId="Enfasicorsivo">
    <w:name w:val="Emphasis"/>
    <w:uiPriority w:val="20"/>
    <w:qFormat/>
    <w:rsid w:val="00633A04"/>
    <w:rPr>
      <w:i/>
      <w:iCs/>
    </w:rPr>
  </w:style>
  <w:style w:type="character" w:styleId="Collegamentovisitato">
    <w:name w:val="FollowedHyperlink"/>
    <w:semiHidden/>
    <w:unhideWhenUsed/>
    <w:rsid w:val="00E07BDC"/>
    <w:rPr>
      <w:color w:val="954F72"/>
      <w:u w:val="single"/>
    </w:rPr>
  </w:style>
  <w:style w:type="character" w:customStyle="1" w:styleId="apple-converted-space">
    <w:name w:val="apple-converted-space"/>
    <w:rsid w:val="00812C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9427">
      <w:bodyDiv w:val="1"/>
      <w:marLeft w:val="0"/>
      <w:marRight w:val="0"/>
      <w:marTop w:val="0"/>
      <w:marBottom w:val="0"/>
      <w:divBdr>
        <w:top w:val="none" w:sz="0" w:space="0" w:color="auto"/>
        <w:left w:val="none" w:sz="0" w:space="0" w:color="auto"/>
        <w:bottom w:val="none" w:sz="0" w:space="0" w:color="auto"/>
        <w:right w:val="none" w:sz="0" w:space="0" w:color="auto"/>
      </w:divBdr>
    </w:div>
    <w:div w:id="88552626">
      <w:bodyDiv w:val="1"/>
      <w:marLeft w:val="0"/>
      <w:marRight w:val="0"/>
      <w:marTop w:val="0"/>
      <w:marBottom w:val="0"/>
      <w:divBdr>
        <w:top w:val="none" w:sz="0" w:space="0" w:color="auto"/>
        <w:left w:val="none" w:sz="0" w:space="0" w:color="auto"/>
        <w:bottom w:val="none" w:sz="0" w:space="0" w:color="auto"/>
        <w:right w:val="none" w:sz="0" w:space="0" w:color="auto"/>
      </w:divBdr>
    </w:div>
    <w:div w:id="172109742">
      <w:bodyDiv w:val="1"/>
      <w:marLeft w:val="0"/>
      <w:marRight w:val="0"/>
      <w:marTop w:val="0"/>
      <w:marBottom w:val="0"/>
      <w:divBdr>
        <w:top w:val="none" w:sz="0" w:space="0" w:color="auto"/>
        <w:left w:val="none" w:sz="0" w:space="0" w:color="auto"/>
        <w:bottom w:val="none" w:sz="0" w:space="0" w:color="auto"/>
        <w:right w:val="none" w:sz="0" w:space="0" w:color="auto"/>
      </w:divBdr>
    </w:div>
    <w:div w:id="234709877">
      <w:bodyDiv w:val="1"/>
      <w:marLeft w:val="0"/>
      <w:marRight w:val="0"/>
      <w:marTop w:val="0"/>
      <w:marBottom w:val="0"/>
      <w:divBdr>
        <w:top w:val="none" w:sz="0" w:space="0" w:color="auto"/>
        <w:left w:val="none" w:sz="0" w:space="0" w:color="auto"/>
        <w:bottom w:val="none" w:sz="0" w:space="0" w:color="auto"/>
        <w:right w:val="none" w:sz="0" w:space="0" w:color="auto"/>
      </w:divBdr>
    </w:div>
    <w:div w:id="308097474">
      <w:bodyDiv w:val="1"/>
      <w:marLeft w:val="0"/>
      <w:marRight w:val="0"/>
      <w:marTop w:val="0"/>
      <w:marBottom w:val="0"/>
      <w:divBdr>
        <w:top w:val="none" w:sz="0" w:space="0" w:color="auto"/>
        <w:left w:val="none" w:sz="0" w:space="0" w:color="auto"/>
        <w:bottom w:val="none" w:sz="0" w:space="0" w:color="auto"/>
        <w:right w:val="none" w:sz="0" w:space="0" w:color="auto"/>
      </w:divBdr>
    </w:div>
    <w:div w:id="318507793">
      <w:bodyDiv w:val="1"/>
      <w:marLeft w:val="0"/>
      <w:marRight w:val="0"/>
      <w:marTop w:val="0"/>
      <w:marBottom w:val="0"/>
      <w:divBdr>
        <w:top w:val="none" w:sz="0" w:space="0" w:color="auto"/>
        <w:left w:val="none" w:sz="0" w:space="0" w:color="auto"/>
        <w:bottom w:val="none" w:sz="0" w:space="0" w:color="auto"/>
        <w:right w:val="none" w:sz="0" w:space="0" w:color="auto"/>
      </w:divBdr>
    </w:div>
    <w:div w:id="522788613">
      <w:bodyDiv w:val="1"/>
      <w:marLeft w:val="0"/>
      <w:marRight w:val="0"/>
      <w:marTop w:val="0"/>
      <w:marBottom w:val="0"/>
      <w:divBdr>
        <w:top w:val="none" w:sz="0" w:space="0" w:color="auto"/>
        <w:left w:val="none" w:sz="0" w:space="0" w:color="auto"/>
        <w:bottom w:val="none" w:sz="0" w:space="0" w:color="auto"/>
        <w:right w:val="none" w:sz="0" w:space="0" w:color="auto"/>
      </w:divBdr>
    </w:div>
    <w:div w:id="545798429">
      <w:bodyDiv w:val="1"/>
      <w:marLeft w:val="0"/>
      <w:marRight w:val="0"/>
      <w:marTop w:val="0"/>
      <w:marBottom w:val="0"/>
      <w:divBdr>
        <w:top w:val="none" w:sz="0" w:space="0" w:color="auto"/>
        <w:left w:val="none" w:sz="0" w:space="0" w:color="auto"/>
        <w:bottom w:val="none" w:sz="0" w:space="0" w:color="auto"/>
        <w:right w:val="none" w:sz="0" w:space="0" w:color="auto"/>
      </w:divBdr>
    </w:div>
    <w:div w:id="575286715">
      <w:bodyDiv w:val="1"/>
      <w:marLeft w:val="0"/>
      <w:marRight w:val="0"/>
      <w:marTop w:val="0"/>
      <w:marBottom w:val="0"/>
      <w:divBdr>
        <w:top w:val="none" w:sz="0" w:space="0" w:color="auto"/>
        <w:left w:val="none" w:sz="0" w:space="0" w:color="auto"/>
        <w:bottom w:val="none" w:sz="0" w:space="0" w:color="auto"/>
        <w:right w:val="none" w:sz="0" w:space="0" w:color="auto"/>
      </w:divBdr>
    </w:div>
    <w:div w:id="623081352">
      <w:bodyDiv w:val="1"/>
      <w:marLeft w:val="0"/>
      <w:marRight w:val="0"/>
      <w:marTop w:val="0"/>
      <w:marBottom w:val="0"/>
      <w:divBdr>
        <w:top w:val="none" w:sz="0" w:space="0" w:color="auto"/>
        <w:left w:val="none" w:sz="0" w:space="0" w:color="auto"/>
        <w:bottom w:val="none" w:sz="0" w:space="0" w:color="auto"/>
        <w:right w:val="none" w:sz="0" w:space="0" w:color="auto"/>
      </w:divBdr>
    </w:div>
    <w:div w:id="665935163">
      <w:bodyDiv w:val="1"/>
      <w:marLeft w:val="0"/>
      <w:marRight w:val="0"/>
      <w:marTop w:val="0"/>
      <w:marBottom w:val="0"/>
      <w:divBdr>
        <w:top w:val="none" w:sz="0" w:space="0" w:color="auto"/>
        <w:left w:val="none" w:sz="0" w:space="0" w:color="auto"/>
        <w:bottom w:val="none" w:sz="0" w:space="0" w:color="auto"/>
        <w:right w:val="none" w:sz="0" w:space="0" w:color="auto"/>
      </w:divBdr>
    </w:div>
    <w:div w:id="1105149096">
      <w:bodyDiv w:val="1"/>
      <w:marLeft w:val="0"/>
      <w:marRight w:val="0"/>
      <w:marTop w:val="0"/>
      <w:marBottom w:val="0"/>
      <w:divBdr>
        <w:top w:val="none" w:sz="0" w:space="0" w:color="auto"/>
        <w:left w:val="none" w:sz="0" w:space="0" w:color="auto"/>
        <w:bottom w:val="none" w:sz="0" w:space="0" w:color="auto"/>
        <w:right w:val="none" w:sz="0" w:space="0" w:color="auto"/>
      </w:divBdr>
    </w:div>
    <w:div w:id="1144857914">
      <w:bodyDiv w:val="1"/>
      <w:marLeft w:val="0"/>
      <w:marRight w:val="0"/>
      <w:marTop w:val="0"/>
      <w:marBottom w:val="0"/>
      <w:divBdr>
        <w:top w:val="none" w:sz="0" w:space="0" w:color="auto"/>
        <w:left w:val="none" w:sz="0" w:space="0" w:color="auto"/>
        <w:bottom w:val="none" w:sz="0" w:space="0" w:color="auto"/>
        <w:right w:val="none" w:sz="0" w:space="0" w:color="auto"/>
      </w:divBdr>
      <w:divsChild>
        <w:div w:id="1471941852">
          <w:marLeft w:val="75"/>
          <w:marRight w:val="75"/>
          <w:marTop w:val="75"/>
          <w:marBottom w:val="75"/>
          <w:divBdr>
            <w:top w:val="none" w:sz="0" w:space="0" w:color="auto"/>
            <w:left w:val="none" w:sz="0" w:space="0" w:color="auto"/>
            <w:bottom w:val="none" w:sz="0" w:space="0" w:color="auto"/>
            <w:right w:val="none" w:sz="0" w:space="0" w:color="auto"/>
          </w:divBdr>
          <w:divsChild>
            <w:div w:id="862203893">
              <w:marLeft w:val="0"/>
              <w:marRight w:val="0"/>
              <w:marTop w:val="0"/>
              <w:marBottom w:val="0"/>
              <w:divBdr>
                <w:top w:val="none" w:sz="0" w:space="0" w:color="auto"/>
                <w:left w:val="none" w:sz="0" w:space="0" w:color="auto"/>
                <w:bottom w:val="none" w:sz="0" w:space="0" w:color="auto"/>
                <w:right w:val="none" w:sz="0" w:space="0" w:color="auto"/>
              </w:divBdr>
              <w:divsChild>
                <w:div w:id="36216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94342">
      <w:bodyDiv w:val="1"/>
      <w:marLeft w:val="0"/>
      <w:marRight w:val="0"/>
      <w:marTop w:val="0"/>
      <w:marBottom w:val="0"/>
      <w:divBdr>
        <w:top w:val="none" w:sz="0" w:space="0" w:color="auto"/>
        <w:left w:val="none" w:sz="0" w:space="0" w:color="auto"/>
        <w:bottom w:val="none" w:sz="0" w:space="0" w:color="auto"/>
        <w:right w:val="none" w:sz="0" w:space="0" w:color="auto"/>
      </w:divBdr>
    </w:div>
    <w:div w:id="1355233073">
      <w:bodyDiv w:val="1"/>
      <w:marLeft w:val="0"/>
      <w:marRight w:val="0"/>
      <w:marTop w:val="0"/>
      <w:marBottom w:val="0"/>
      <w:divBdr>
        <w:top w:val="none" w:sz="0" w:space="0" w:color="auto"/>
        <w:left w:val="none" w:sz="0" w:space="0" w:color="auto"/>
        <w:bottom w:val="none" w:sz="0" w:space="0" w:color="auto"/>
        <w:right w:val="none" w:sz="0" w:space="0" w:color="auto"/>
      </w:divBdr>
    </w:div>
    <w:div w:id="1520000481">
      <w:bodyDiv w:val="1"/>
      <w:marLeft w:val="0"/>
      <w:marRight w:val="0"/>
      <w:marTop w:val="0"/>
      <w:marBottom w:val="0"/>
      <w:divBdr>
        <w:top w:val="none" w:sz="0" w:space="0" w:color="auto"/>
        <w:left w:val="none" w:sz="0" w:space="0" w:color="auto"/>
        <w:bottom w:val="none" w:sz="0" w:space="0" w:color="auto"/>
        <w:right w:val="none" w:sz="0" w:space="0" w:color="auto"/>
      </w:divBdr>
    </w:div>
    <w:div w:id="1527594266">
      <w:bodyDiv w:val="1"/>
      <w:marLeft w:val="0"/>
      <w:marRight w:val="0"/>
      <w:marTop w:val="0"/>
      <w:marBottom w:val="0"/>
      <w:divBdr>
        <w:top w:val="none" w:sz="0" w:space="0" w:color="auto"/>
        <w:left w:val="none" w:sz="0" w:space="0" w:color="auto"/>
        <w:bottom w:val="none" w:sz="0" w:space="0" w:color="auto"/>
        <w:right w:val="none" w:sz="0" w:space="0" w:color="auto"/>
      </w:divBdr>
    </w:div>
    <w:div w:id="1646351945">
      <w:bodyDiv w:val="1"/>
      <w:marLeft w:val="0"/>
      <w:marRight w:val="0"/>
      <w:marTop w:val="0"/>
      <w:marBottom w:val="0"/>
      <w:divBdr>
        <w:top w:val="none" w:sz="0" w:space="0" w:color="auto"/>
        <w:left w:val="none" w:sz="0" w:space="0" w:color="auto"/>
        <w:bottom w:val="none" w:sz="0" w:space="0" w:color="auto"/>
        <w:right w:val="none" w:sz="0" w:space="0" w:color="auto"/>
      </w:divBdr>
    </w:div>
    <w:div w:id="1900550876">
      <w:bodyDiv w:val="1"/>
      <w:marLeft w:val="0"/>
      <w:marRight w:val="0"/>
      <w:marTop w:val="0"/>
      <w:marBottom w:val="0"/>
      <w:divBdr>
        <w:top w:val="none" w:sz="0" w:space="0" w:color="auto"/>
        <w:left w:val="none" w:sz="0" w:space="0" w:color="auto"/>
        <w:bottom w:val="none" w:sz="0" w:space="0" w:color="auto"/>
        <w:right w:val="none" w:sz="0" w:space="0" w:color="auto"/>
      </w:divBdr>
    </w:div>
    <w:div w:id="1904219491">
      <w:bodyDiv w:val="1"/>
      <w:marLeft w:val="0"/>
      <w:marRight w:val="0"/>
      <w:marTop w:val="0"/>
      <w:marBottom w:val="0"/>
      <w:divBdr>
        <w:top w:val="none" w:sz="0" w:space="0" w:color="auto"/>
        <w:left w:val="none" w:sz="0" w:space="0" w:color="auto"/>
        <w:bottom w:val="none" w:sz="0" w:space="0" w:color="auto"/>
        <w:right w:val="none" w:sz="0" w:space="0" w:color="auto"/>
      </w:divBdr>
    </w:div>
    <w:div w:id="1929803571">
      <w:bodyDiv w:val="1"/>
      <w:marLeft w:val="0"/>
      <w:marRight w:val="0"/>
      <w:marTop w:val="0"/>
      <w:marBottom w:val="0"/>
      <w:divBdr>
        <w:top w:val="none" w:sz="0" w:space="0" w:color="auto"/>
        <w:left w:val="none" w:sz="0" w:space="0" w:color="auto"/>
        <w:bottom w:val="none" w:sz="0" w:space="0" w:color="auto"/>
        <w:right w:val="none" w:sz="0" w:space="0" w:color="auto"/>
      </w:divBdr>
      <w:divsChild>
        <w:div w:id="1472092269">
          <w:marLeft w:val="0"/>
          <w:marRight w:val="0"/>
          <w:marTop w:val="0"/>
          <w:marBottom w:val="0"/>
          <w:divBdr>
            <w:top w:val="none" w:sz="0" w:space="0" w:color="auto"/>
            <w:left w:val="none" w:sz="0" w:space="0" w:color="auto"/>
            <w:bottom w:val="none" w:sz="0" w:space="0" w:color="auto"/>
            <w:right w:val="none" w:sz="0" w:space="0" w:color="auto"/>
          </w:divBdr>
        </w:div>
      </w:divsChild>
    </w:div>
    <w:div w:id="1987124347">
      <w:bodyDiv w:val="1"/>
      <w:marLeft w:val="0"/>
      <w:marRight w:val="0"/>
      <w:marTop w:val="0"/>
      <w:marBottom w:val="0"/>
      <w:divBdr>
        <w:top w:val="none" w:sz="0" w:space="0" w:color="auto"/>
        <w:left w:val="none" w:sz="0" w:space="0" w:color="auto"/>
        <w:bottom w:val="none" w:sz="0" w:space="0" w:color="auto"/>
        <w:right w:val="none" w:sz="0" w:space="0" w:color="auto"/>
      </w:divBdr>
    </w:div>
    <w:div w:id="2088960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stagnino@confindustria.umbri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agenziaentrate.gov.it/portale/documents/20143/2570162/Circolare+plusvalenze+n.+23+del+29+luglio+2020.pdf/6dc89827-b4d9-00bf-be0d-4f9527956b8d"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roscini@confindustria.umbria.it" TargetMode="External"/><Relationship Id="rId4" Type="http://schemas.openxmlformats.org/officeDocument/2006/relationships/webSettings" Target="webSettings.xml"/><Relationship Id="rId9" Type="http://schemas.openxmlformats.org/officeDocument/2006/relationships/hyperlink" Target="mailto:vignaroli@confindustria.umbri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iara.santilli\Desktop\Carta%20intestata%20Confindustria%20Umbria_Il%20Direttore%20Generale.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Confindustria Umbria_Il Direttore Generale</Template>
  <TotalTime>371</TotalTime>
  <Pages>2</Pages>
  <Words>646</Words>
  <Characters>3684</Characters>
  <Application>Microsoft Office Word</Application>
  <DocSecurity>0</DocSecurity>
  <Lines>30</Lines>
  <Paragraphs>8</Paragraphs>
  <ScaleCrop>false</ScaleCrop>
  <HeadingPairs>
    <vt:vector size="2" baseType="variant">
      <vt:variant>
        <vt:lpstr>Titolo</vt:lpstr>
      </vt:variant>
      <vt:variant>
        <vt:i4>1</vt:i4>
      </vt:variant>
    </vt:vector>
  </HeadingPairs>
  <TitlesOfParts>
    <vt:vector size="1" baseType="lpstr">
      <vt:lpstr>Associazione Industriali</vt:lpstr>
    </vt:vector>
  </TitlesOfParts>
  <Company>Assindustria</Company>
  <LinksUpToDate>false</LinksUpToDate>
  <CharactersWithSpaces>4322</CharactersWithSpaces>
  <SharedDoc>false</SharedDoc>
  <HLinks>
    <vt:vector size="12" baseType="variant">
      <vt:variant>
        <vt:i4>7667784</vt:i4>
      </vt:variant>
      <vt:variant>
        <vt:i4>3</vt:i4>
      </vt:variant>
      <vt:variant>
        <vt:i4>0</vt:i4>
      </vt:variant>
      <vt:variant>
        <vt:i4>5</vt:i4>
      </vt:variant>
      <vt:variant>
        <vt:lpwstr>edilizia@confindustria.terni.it</vt:lpwstr>
      </vt:variant>
      <vt:variant>
        <vt:lpwstr/>
      </vt:variant>
      <vt:variant>
        <vt:i4>2555987</vt:i4>
      </vt:variant>
      <vt:variant>
        <vt:i4>0</vt:i4>
      </vt:variant>
      <vt:variant>
        <vt:i4>0</vt:i4>
      </vt:variant>
      <vt:variant>
        <vt:i4>5</vt:i4>
      </vt:variant>
      <vt:variant>
        <vt:lpwstr>info@anceumbria.it </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Associazione Industriali</dc:title>
  <dc:subject/>
  <dc:creator>Cristina Malfagia</dc:creator>
  <cp:keywords/>
  <cp:lastModifiedBy>Chiara Santilli</cp:lastModifiedBy>
  <cp:revision>72</cp:revision>
  <cp:lastPrinted>2019-02-27T17:41:00Z</cp:lastPrinted>
  <dcterms:created xsi:type="dcterms:W3CDTF">2020-03-10T08:33:00Z</dcterms:created>
  <dcterms:modified xsi:type="dcterms:W3CDTF">2020-08-04T08:17:00Z</dcterms:modified>
</cp:coreProperties>
</file>