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B117B7" w14:textId="68E1DD61" w:rsidR="005276B5" w:rsidRPr="00E01874" w:rsidRDefault="00404DD3" w:rsidP="00E01874">
      <w:pPr>
        <w:shd w:val="clear" w:color="auto" w:fill="FFFFFF"/>
        <w:jc w:val="both"/>
        <w:rPr>
          <w:rFonts w:asciiTheme="minorHAnsi" w:hAnsiTheme="minorHAnsi" w:cstheme="minorHAnsi"/>
          <w:b/>
          <w:bCs/>
          <w:sz w:val="22"/>
          <w:szCs w:val="22"/>
        </w:rPr>
      </w:pPr>
      <w:r>
        <w:rPr>
          <w:rFonts w:asciiTheme="minorHAnsi" w:hAnsiTheme="minorHAnsi" w:cstheme="minorHAnsi"/>
          <w:b/>
          <w:bCs/>
          <w:noProof/>
          <w:color w:val="000000"/>
          <w:sz w:val="22"/>
          <w:szCs w:val="22"/>
        </w:rPr>
        <mc:AlternateContent>
          <mc:Choice Requires="wps">
            <w:drawing>
              <wp:anchor distT="0" distB="0" distL="114300" distR="114300" simplePos="0" relativeHeight="251657728" behindDoc="0" locked="0" layoutInCell="1" allowOverlap="1" wp14:anchorId="036903AB" wp14:editId="1199E54D">
                <wp:simplePos x="0" y="0"/>
                <wp:positionH relativeFrom="column">
                  <wp:posOffset>-936625</wp:posOffset>
                </wp:positionH>
                <wp:positionV relativeFrom="paragraph">
                  <wp:posOffset>-304800</wp:posOffset>
                </wp:positionV>
                <wp:extent cx="7610475" cy="45720"/>
                <wp:effectExtent l="0" t="0" r="0" b="0"/>
                <wp:wrapNone/>
                <wp:docPr id="5" name="Segno di sottrazion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10475" cy="45720"/>
                        </a:xfrm>
                        <a:prstGeom prst="mathMinus">
                          <a:avLst/>
                        </a:prstGeom>
                        <a:solidFill>
                          <a:srgbClr val="205394"/>
                        </a:solid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E075F7" id="Segno di sottrazione 5" o:spid="_x0000_s1026" style="position:absolute;margin-left:-73.75pt;margin-top:-24pt;width:599.2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10475,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" path="m1008768,17483r5592939,l6601707,28237r-5592939,l1008768,17483xe" fillcolor="#205394" strokecolor="#385d8a" strokeweight="1pt">
                <v:path arrowok="t" o:connecttype="custom" o:connectlocs="1008768,17483;6601707,17483;6601707,28237;1008768,28237;1008768,17483" o:connectangles="0,0,0,0,0"/>
              </v:shape>
            </w:pict>
          </mc:Fallback>
        </mc:AlternateContent>
      </w:r>
      <w:r w:rsidR="00E01874" w:rsidRPr="00E01874">
        <w:rPr>
          <w:rFonts w:asciiTheme="minorHAnsi" w:hAnsiTheme="minorHAnsi" w:cstheme="minorHAnsi"/>
          <w:b/>
          <w:bCs/>
          <w:color w:val="000000"/>
          <w:sz w:val="22"/>
          <w:szCs w:val="22"/>
        </w:rPr>
        <w:t>Regione Umbria</w:t>
      </w:r>
      <w:r w:rsidR="00AA6F0C">
        <w:rPr>
          <w:rFonts w:asciiTheme="minorHAnsi" w:hAnsiTheme="minorHAnsi" w:cstheme="minorHAnsi"/>
          <w:b/>
          <w:bCs/>
          <w:color w:val="000000"/>
          <w:sz w:val="22"/>
          <w:szCs w:val="22"/>
        </w:rPr>
        <w:t>. P</w:t>
      </w:r>
      <w:r w:rsidR="00E01874" w:rsidRPr="00E01874">
        <w:rPr>
          <w:rFonts w:asciiTheme="minorHAnsi" w:hAnsiTheme="minorHAnsi" w:cstheme="minorHAnsi"/>
          <w:b/>
          <w:bCs/>
          <w:color w:val="000000"/>
          <w:sz w:val="22"/>
          <w:szCs w:val="22"/>
        </w:rPr>
        <w:t xml:space="preserve">ubblicate </w:t>
      </w:r>
      <w:r w:rsidR="00E41B7E">
        <w:rPr>
          <w:rFonts w:asciiTheme="minorHAnsi" w:hAnsiTheme="minorHAnsi" w:cstheme="minorHAnsi"/>
          <w:b/>
          <w:bCs/>
          <w:color w:val="000000"/>
          <w:sz w:val="22"/>
          <w:szCs w:val="22"/>
        </w:rPr>
        <w:t xml:space="preserve">le </w:t>
      </w:r>
      <w:r w:rsidR="00E01874" w:rsidRPr="00E01874">
        <w:rPr>
          <w:rFonts w:asciiTheme="minorHAnsi" w:hAnsiTheme="minorHAnsi" w:cstheme="minorHAnsi"/>
          <w:b/>
          <w:bCs/>
          <w:color w:val="000000"/>
          <w:sz w:val="22"/>
          <w:szCs w:val="22"/>
        </w:rPr>
        <w:t>linee di indirizzo e procedure sulle funzioni in materia sismica</w:t>
      </w:r>
    </w:p>
    <w:p w14:paraId="6FD7C974" w14:textId="34E4CC14" w:rsidR="00FD4966" w:rsidRPr="00E01874" w:rsidRDefault="00FD4966" w:rsidP="00E01874">
      <w:pPr>
        <w:autoSpaceDE w:val="0"/>
        <w:autoSpaceDN w:val="0"/>
        <w:adjustRightInd w:val="0"/>
        <w:jc w:val="both"/>
        <w:rPr>
          <w:rFonts w:asciiTheme="minorHAnsi" w:hAnsiTheme="minorHAnsi" w:cstheme="minorHAnsi"/>
          <w:b/>
          <w:bCs/>
          <w:color w:val="000000"/>
          <w:sz w:val="22"/>
          <w:szCs w:val="22"/>
        </w:rPr>
      </w:pPr>
    </w:p>
    <w:p w14:paraId="4256E620" w14:textId="317A582B" w:rsidR="00E01874" w:rsidRPr="00E01874" w:rsidRDefault="00E01874" w:rsidP="00E01874">
      <w:pPr>
        <w:jc w:val="both"/>
        <w:rPr>
          <w:rFonts w:asciiTheme="minorHAnsi" w:hAnsiTheme="minorHAnsi" w:cstheme="minorHAnsi"/>
          <w:sz w:val="22"/>
          <w:szCs w:val="22"/>
        </w:rPr>
      </w:pPr>
      <w:r w:rsidRPr="00E01874">
        <w:rPr>
          <w:rFonts w:asciiTheme="minorHAnsi" w:hAnsiTheme="minorHAnsi" w:cstheme="minorHAnsi"/>
          <w:sz w:val="22"/>
          <w:szCs w:val="22"/>
        </w:rPr>
        <w:t xml:space="preserve">Adeguamento regionale alle </w:t>
      </w:r>
      <w:r w:rsidR="00E41B7E" w:rsidRPr="00E01874">
        <w:rPr>
          <w:rFonts w:asciiTheme="minorHAnsi" w:hAnsiTheme="minorHAnsi" w:cstheme="minorHAnsi"/>
          <w:sz w:val="22"/>
          <w:szCs w:val="22"/>
        </w:rPr>
        <w:t xml:space="preserve">Linee Guida </w:t>
      </w:r>
      <w:r w:rsidRPr="00E01874">
        <w:rPr>
          <w:rFonts w:asciiTheme="minorHAnsi" w:hAnsiTheme="minorHAnsi" w:cstheme="minorHAnsi"/>
          <w:sz w:val="22"/>
          <w:szCs w:val="22"/>
        </w:rPr>
        <w:t>ministeriali</w:t>
      </w:r>
    </w:p>
    <w:p w14:paraId="1AC72ADA" w14:textId="530C0754" w:rsidR="00E01874" w:rsidRDefault="00E01874" w:rsidP="00E01874">
      <w:pPr>
        <w:jc w:val="both"/>
        <w:rPr>
          <w:rFonts w:asciiTheme="minorHAnsi" w:hAnsiTheme="minorHAnsi" w:cstheme="minorHAnsi"/>
          <w:sz w:val="22"/>
          <w:szCs w:val="22"/>
        </w:rPr>
      </w:pPr>
    </w:p>
    <w:p w14:paraId="0F8212F6" w14:textId="77777777" w:rsidR="00E01874" w:rsidRPr="00E01874" w:rsidRDefault="00E01874" w:rsidP="00E01874">
      <w:pPr>
        <w:jc w:val="both"/>
        <w:rPr>
          <w:rFonts w:asciiTheme="minorHAnsi" w:hAnsiTheme="minorHAnsi" w:cstheme="minorHAnsi"/>
          <w:sz w:val="22"/>
          <w:szCs w:val="22"/>
        </w:rPr>
      </w:pPr>
    </w:p>
    <w:p w14:paraId="65C39CC6" w14:textId="77777777" w:rsidR="00E01874" w:rsidRPr="00E01874" w:rsidRDefault="00E01874" w:rsidP="00E01874">
      <w:pPr>
        <w:jc w:val="both"/>
        <w:rPr>
          <w:rFonts w:asciiTheme="minorHAnsi" w:hAnsiTheme="minorHAnsi" w:cstheme="minorHAnsi"/>
          <w:b/>
          <w:bCs/>
          <w:i/>
          <w:iCs/>
          <w:sz w:val="22"/>
          <w:szCs w:val="22"/>
        </w:rPr>
      </w:pPr>
      <w:r w:rsidRPr="00E01874">
        <w:rPr>
          <w:rFonts w:asciiTheme="minorHAnsi" w:hAnsiTheme="minorHAnsi" w:cstheme="minorHAnsi"/>
          <w:sz w:val="22"/>
          <w:szCs w:val="22"/>
        </w:rPr>
        <w:t xml:space="preserve">Si informa che sul Supplemento ordinario n. 2 al Bollettino Ufficiale della Regione Umbria n. 64 del 29 luglio 2020 è stata pubblicata la </w:t>
      </w:r>
      <w:r w:rsidRPr="00AA6F0C">
        <w:rPr>
          <w:rFonts w:asciiTheme="minorHAnsi" w:hAnsiTheme="minorHAnsi" w:cstheme="minorHAnsi"/>
          <w:b/>
          <w:bCs/>
          <w:color w:val="0000CC"/>
          <w:sz w:val="22"/>
          <w:szCs w:val="22"/>
        </w:rPr>
        <w:t>Deliberazione della Giunta Regionale 16 luglio 2020 n. 596</w:t>
      </w:r>
      <w:r w:rsidRPr="00E01874">
        <w:rPr>
          <w:rFonts w:asciiTheme="minorHAnsi" w:hAnsiTheme="minorHAnsi" w:cstheme="minorHAnsi"/>
          <w:sz w:val="22"/>
          <w:szCs w:val="22"/>
        </w:rPr>
        <w:t xml:space="preserve">, avente ad oggetto </w:t>
      </w:r>
      <w:r w:rsidRPr="00E01874">
        <w:rPr>
          <w:rFonts w:asciiTheme="minorHAnsi" w:hAnsiTheme="minorHAnsi" w:cstheme="minorHAnsi"/>
          <w:b/>
          <w:bCs/>
          <w:i/>
          <w:iCs/>
          <w:sz w:val="22"/>
          <w:szCs w:val="22"/>
        </w:rPr>
        <w:t>“Linee di indirizzo e procedure sulle funzioni in materia sismica (autorizzazione sismica, vigilanza e controllo di opere e costruzioni in zone sismiche) a seguito dell’introduzione dell’art. 94-bis del D.P.R. n. 380/01 e delle relative Linee Guida nazionali (decreto MIT del 30 aprile 2020)”.</w:t>
      </w:r>
    </w:p>
    <w:p w14:paraId="44498E44" w14:textId="77777777" w:rsidR="00FD5E5C" w:rsidRDefault="00FD5E5C" w:rsidP="00E01874">
      <w:pPr>
        <w:jc w:val="both"/>
        <w:rPr>
          <w:rFonts w:asciiTheme="minorHAnsi" w:hAnsiTheme="minorHAnsi" w:cstheme="minorHAnsi"/>
          <w:sz w:val="22"/>
          <w:szCs w:val="22"/>
        </w:rPr>
      </w:pPr>
    </w:p>
    <w:p w14:paraId="00132D9C" w14:textId="058A1384" w:rsidR="00E01874" w:rsidRPr="00E01874" w:rsidRDefault="00E01874" w:rsidP="00E01874">
      <w:pPr>
        <w:jc w:val="both"/>
        <w:rPr>
          <w:rFonts w:asciiTheme="minorHAnsi" w:hAnsiTheme="minorHAnsi" w:cstheme="minorHAnsi"/>
          <w:sz w:val="22"/>
          <w:szCs w:val="22"/>
        </w:rPr>
      </w:pPr>
      <w:r w:rsidRPr="00E01874">
        <w:rPr>
          <w:rFonts w:asciiTheme="minorHAnsi" w:hAnsiTheme="minorHAnsi" w:cstheme="minorHAnsi"/>
          <w:sz w:val="22"/>
          <w:szCs w:val="22"/>
        </w:rPr>
        <w:t>Come noto, con la legge regionale 27 gennaio 2010, n. 5, la Regione Umbria aveva avviato un percorso di</w:t>
      </w:r>
      <w:r w:rsidR="00FD5E5C">
        <w:rPr>
          <w:rFonts w:asciiTheme="minorHAnsi" w:hAnsiTheme="minorHAnsi" w:cstheme="minorHAnsi"/>
          <w:sz w:val="22"/>
          <w:szCs w:val="22"/>
        </w:rPr>
        <w:t xml:space="preserve"> </w:t>
      </w:r>
      <w:r w:rsidRPr="00E01874">
        <w:rPr>
          <w:rFonts w:asciiTheme="minorHAnsi" w:hAnsiTheme="minorHAnsi" w:cstheme="minorHAnsi"/>
          <w:sz w:val="22"/>
          <w:szCs w:val="22"/>
        </w:rPr>
        <w:t>semplificazione amministrativa delle procedure sismiche secondo il quale:</w:t>
      </w:r>
    </w:p>
    <w:p w14:paraId="7AC9746A" w14:textId="77777777" w:rsidR="00E01874" w:rsidRPr="00E01874" w:rsidRDefault="00E01874" w:rsidP="00E01874">
      <w:pPr>
        <w:pStyle w:val="Paragrafoelenco"/>
        <w:numPr>
          <w:ilvl w:val="0"/>
          <w:numId w:val="14"/>
        </w:numPr>
        <w:spacing w:after="0" w:line="240" w:lineRule="auto"/>
        <w:jc w:val="both"/>
        <w:rPr>
          <w:rFonts w:asciiTheme="minorHAnsi" w:hAnsiTheme="minorHAnsi" w:cstheme="minorHAnsi"/>
        </w:rPr>
      </w:pPr>
      <w:r w:rsidRPr="00E01874">
        <w:rPr>
          <w:rFonts w:asciiTheme="minorHAnsi" w:hAnsiTheme="minorHAnsi" w:cstheme="minorHAnsi"/>
        </w:rPr>
        <w:t>gli interventi “</w:t>
      </w:r>
      <w:r w:rsidRPr="00E01874">
        <w:rPr>
          <w:rFonts w:asciiTheme="minorHAnsi" w:hAnsiTheme="minorHAnsi" w:cstheme="minorHAnsi"/>
          <w:i/>
          <w:iCs/>
        </w:rPr>
        <w:t>privi di rilevanza ai fini della pubblica incolumità”</w:t>
      </w:r>
      <w:r w:rsidRPr="00E01874">
        <w:rPr>
          <w:rFonts w:asciiTheme="minorHAnsi" w:hAnsiTheme="minorHAnsi" w:cstheme="minorHAnsi"/>
        </w:rPr>
        <w:t xml:space="preserve"> non erano depositabili;</w:t>
      </w:r>
    </w:p>
    <w:p w14:paraId="1D83EFF0" w14:textId="77777777" w:rsidR="00E01874" w:rsidRPr="00E01874" w:rsidRDefault="00E01874" w:rsidP="00E01874">
      <w:pPr>
        <w:pStyle w:val="Paragrafoelenco"/>
        <w:numPr>
          <w:ilvl w:val="0"/>
          <w:numId w:val="14"/>
        </w:numPr>
        <w:spacing w:after="0" w:line="240" w:lineRule="auto"/>
        <w:jc w:val="both"/>
        <w:rPr>
          <w:rFonts w:asciiTheme="minorHAnsi" w:hAnsiTheme="minorHAnsi" w:cstheme="minorHAnsi"/>
        </w:rPr>
      </w:pPr>
      <w:r w:rsidRPr="00E01874">
        <w:rPr>
          <w:rFonts w:asciiTheme="minorHAnsi" w:hAnsiTheme="minorHAnsi" w:cstheme="minorHAnsi"/>
        </w:rPr>
        <w:t>gli interventi di “</w:t>
      </w:r>
      <w:r w:rsidRPr="00E01874">
        <w:rPr>
          <w:rFonts w:asciiTheme="minorHAnsi" w:hAnsiTheme="minorHAnsi" w:cstheme="minorHAnsi"/>
          <w:i/>
          <w:iCs/>
        </w:rPr>
        <w:t>minore rilevanza ai fini della pubblica incolumità</w:t>
      </w:r>
      <w:r w:rsidRPr="00E01874">
        <w:rPr>
          <w:rFonts w:asciiTheme="minorHAnsi" w:hAnsiTheme="minorHAnsi" w:cstheme="minorHAnsi"/>
        </w:rPr>
        <w:t>” erano assoggettati al regime di preavviso scritto e deposito con estrazione a campione;</w:t>
      </w:r>
    </w:p>
    <w:p w14:paraId="69987AD0" w14:textId="77777777" w:rsidR="00E01874" w:rsidRPr="00E01874" w:rsidRDefault="00E01874" w:rsidP="00E01874">
      <w:pPr>
        <w:pStyle w:val="Paragrafoelenco"/>
        <w:numPr>
          <w:ilvl w:val="0"/>
          <w:numId w:val="14"/>
        </w:numPr>
        <w:spacing w:after="0" w:line="240" w:lineRule="auto"/>
        <w:jc w:val="both"/>
        <w:rPr>
          <w:rFonts w:asciiTheme="minorHAnsi" w:hAnsiTheme="minorHAnsi" w:cstheme="minorHAnsi"/>
        </w:rPr>
      </w:pPr>
      <w:r w:rsidRPr="00E01874">
        <w:rPr>
          <w:rFonts w:asciiTheme="minorHAnsi" w:hAnsiTheme="minorHAnsi" w:cstheme="minorHAnsi"/>
        </w:rPr>
        <w:t>gli interventi “</w:t>
      </w:r>
      <w:r w:rsidRPr="00E01874">
        <w:rPr>
          <w:rFonts w:asciiTheme="minorHAnsi" w:hAnsiTheme="minorHAnsi" w:cstheme="minorHAnsi"/>
          <w:i/>
          <w:iCs/>
        </w:rPr>
        <w:t>rilevanti ai fini della pubblica incolumità”</w:t>
      </w:r>
      <w:r w:rsidRPr="00E01874">
        <w:rPr>
          <w:rFonts w:asciiTheme="minorHAnsi" w:hAnsiTheme="minorHAnsi" w:cstheme="minorHAnsi"/>
        </w:rPr>
        <w:t xml:space="preserve"> erano assoggettati al regime di autorizzazione sismica preventiva con deposito del progetto;</w:t>
      </w:r>
    </w:p>
    <w:p w14:paraId="19AC7959" w14:textId="77777777" w:rsidR="00E01874" w:rsidRPr="00E01874" w:rsidRDefault="00E01874" w:rsidP="00E01874">
      <w:pPr>
        <w:pStyle w:val="Paragrafoelenco"/>
        <w:numPr>
          <w:ilvl w:val="0"/>
          <w:numId w:val="14"/>
        </w:numPr>
        <w:spacing w:after="0" w:line="240" w:lineRule="auto"/>
        <w:jc w:val="both"/>
        <w:rPr>
          <w:rFonts w:asciiTheme="minorHAnsi" w:hAnsiTheme="minorHAnsi" w:cstheme="minorHAnsi"/>
        </w:rPr>
      </w:pPr>
      <w:r w:rsidRPr="00E01874">
        <w:rPr>
          <w:rFonts w:asciiTheme="minorHAnsi" w:hAnsiTheme="minorHAnsi" w:cstheme="minorHAnsi"/>
        </w:rPr>
        <w:t>le “</w:t>
      </w:r>
      <w:r w:rsidRPr="00E01874">
        <w:rPr>
          <w:rFonts w:asciiTheme="minorHAnsi" w:hAnsiTheme="minorHAnsi" w:cstheme="minorHAnsi"/>
          <w:i/>
          <w:iCs/>
        </w:rPr>
        <w:t>varianti riguardanti le parti strutturali che non rivestono carattere sostanziale</w:t>
      </w:r>
      <w:r w:rsidRPr="00E01874">
        <w:rPr>
          <w:rFonts w:asciiTheme="minorHAnsi" w:hAnsiTheme="minorHAnsi" w:cstheme="minorHAnsi"/>
        </w:rPr>
        <w:t>” non erano soggette a deposito.</w:t>
      </w:r>
    </w:p>
    <w:p w14:paraId="40FD4C37" w14:textId="77777777" w:rsidR="00FD5E5C" w:rsidRDefault="00FD5E5C" w:rsidP="00E01874">
      <w:pPr>
        <w:jc w:val="both"/>
        <w:rPr>
          <w:rFonts w:asciiTheme="minorHAnsi" w:hAnsiTheme="minorHAnsi" w:cstheme="minorHAnsi"/>
          <w:sz w:val="22"/>
          <w:szCs w:val="22"/>
        </w:rPr>
      </w:pPr>
    </w:p>
    <w:p w14:paraId="08B80182" w14:textId="1D1B7251" w:rsidR="00E01874" w:rsidRPr="00E01874" w:rsidRDefault="00E01874" w:rsidP="00E01874">
      <w:pPr>
        <w:jc w:val="both"/>
        <w:rPr>
          <w:rFonts w:asciiTheme="minorHAnsi" w:hAnsiTheme="minorHAnsi" w:cstheme="minorHAnsi"/>
          <w:sz w:val="22"/>
          <w:szCs w:val="22"/>
        </w:rPr>
      </w:pPr>
      <w:r w:rsidRPr="00E01874">
        <w:rPr>
          <w:rFonts w:asciiTheme="minorHAnsi" w:hAnsiTheme="minorHAnsi" w:cstheme="minorHAnsi"/>
          <w:sz w:val="22"/>
          <w:szCs w:val="22"/>
        </w:rPr>
        <w:t xml:space="preserve">Tuttavia, la sentenza della </w:t>
      </w:r>
      <w:proofErr w:type="gramStart"/>
      <w:r w:rsidRPr="00E01874">
        <w:rPr>
          <w:rFonts w:asciiTheme="minorHAnsi" w:hAnsiTheme="minorHAnsi" w:cstheme="minorHAnsi"/>
          <w:sz w:val="22"/>
          <w:szCs w:val="22"/>
        </w:rPr>
        <w:t>Corte Costituzionale</w:t>
      </w:r>
      <w:proofErr w:type="gramEnd"/>
      <w:r w:rsidRPr="00E01874">
        <w:rPr>
          <w:rFonts w:asciiTheme="minorHAnsi" w:hAnsiTheme="minorHAnsi" w:cstheme="minorHAnsi"/>
          <w:sz w:val="22"/>
          <w:szCs w:val="22"/>
        </w:rPr>
        <w:t xml:space="preserve"> n. 68/2018 (in G. U. 11 aprile 2018, n. 15) che ha annullato il regime di semplificazione sismica sopra illustrato, reintroducendo di fatto un generalizzato obbligo di autorizzazione sismica, ha determinato un sovraccarico degli uffici regionali del servizio rischio sismico tale da determinare forti ritardi nel rilascio delle autorizzazioni sismiche ed un significativo rallentamento delle attività edilizie nel territorio regionale.</w:t>
      </w:r>
    </w:p>
    <w:p w14:paraId="507882BC" w14:textId="77777777" w:rsidR="00FD5E5C" w:rsidRDefault="00FD5E5C" w:rsidP="00E01874">
      <w:pPr>
        <w:jc w:val="both"/>
        <w:rPr>
          <w:rFonts w:asciiTheme="minorHAnsi" w:hAnsiTheme="minorHAnsi" w:cstheme="minorHAnsi"/>
          <w:sz w:val="22"/>
          <w:szCs w:val="22"/>
        </w:rPr>
      </w:pPr>
    </w:p>
    <w:p w14:paraId="161E9838" w14:textId="5061BC10" w:rsidR="00E01874" w:rsidRPr="00E01874" w:rsidRDefault="00E01874" w:rsidP="00E01874">
      <w:pPr>
        <w:jc w:val="both"/>
        <w:rPr>
          <w:rFonts w:asciiTheme="minorHAnsi" w:hAnsiTheme="minorHAnsi" w:cstheme="minorHAnsi"/>
          <w:sz w:val="22"/>
          <w:szCs w:val="22"/>
        </w:rPr>
      </w:pPr>
      <w:r w:rsidRPr="00E01874">
        <w:rPr>
          <w:rFonts w:asciiTheme="minorHAnsi" w:hAnsiTheme="minorHAnsi" w:cstheme="minorHAnsi"/>
          <w:sz w:val="22"/>
          <w:szCs w:val="22"/>
        </w:rPr>
        <w:t>Di conseguenza la Regione Umbria introduceva nuovi interventi sul piano organizzativo grazie all’adozione della D.G.R. n. 628 dell’11 giugno 2018, che stabiliva nuove misure attuative delle modalità di rilascio delle autorizzazioni sismiche, rivedeva le disposizioni relative al rimborso forfettario per le attività istruttorie, di conservazione dei progetti e per i controlli, di cui all’articolo 211 della legge regionale n. 1/2015 e promuoveva misure atte a favorire e potenziare l’attività di controllo ispettivo dei cantieri e la vigilanza sulle opere e sulle costruzioni.</w:t>
      </w:r>
    </w:p>
    <w:p w14:paraId="35724502" w14:textId="77777777" w:rsidR="00FD5E5C" w:rsidRDefault="00FD5E5C" w:rsidP="00E01874">
      <w:pPr>
        <w:jc w:val="both"/>
        <w:rPr>
          <w:rFonts w:asciiTheme="minorHAnsi" w:hAnsiTheme="minorHAnsi" w:cstheme="minorHAnsi"/>
          <w:sz w:val="22"/>
          <w:szCs w:val="22"/>
        </w:rPr>
      </w:pPr>
    </w:p>
    <w:p w14:paraId="2EC25477" w14:textId="3A3C46BB" w:rsidR="00E01874" w:rsidRPr="00E01874" w:rsidRDefault="00E01874" w:rsidP="00E01874">
      <w:pPr>
        <w:jc w:val="both"/>
        <w:rPr>
          <w:rFonts w:asciiTheme="minorHAnsi" w:hAnsiTheme="minorHAnsi" w:cstheme="minorHAnsi"/>
          <w:sz w:val="22"/>
          <w:szCs w:val="22"/>
        </w:rPr>
      </w:pPr>
      <w:r w:rsidRPr="00E01874">
        <w:rPr>
          <w:rFonts w:asciiTheme="minorHAnsi" w:hAnsiTheme="minorHAnsi" w:cstheme="minorHAnsi"/>
          <w:sz w:val="22"/>
          <w:szCs w:val="22"/>
        </w:rPr>
        <w:t>Successivamente, su sollecitazione di diverse regioni, il Governo, con il D.L. n. 32/2019 (come convertito dalla Legge 14.06.2019, n. 55) ha introdotto nuove disposizioni in materia di semplificazione della disciplina degli interventi strutturali in zone sismiche, che ricalca sostanzialmente l’impianto in passato adottato dalla regione Umbria.</w:t>
      </w:r>
    </w:p>
    <w:p w14:paraId="2E8A6621" w14:textId="77777777" w:rsidR="00FD5E5C" w:rsidRDefault="00FD5E5C" w:rsidP="00E01874">
      <w:pPr>
        <w:jc w:val="both"/>
        <w:rPr>
          <w:rFonts w:asciiTheme="minorHAnsi" w:hAnsiTheme="minorHAnsi" w:cstheme="minorHAnsi"/>
          <w:sz w:val="22"/>
          <w:szCs w:val="22"/>
        </w:rPr>
      </w:pPr>
    </w:p>
    <w:p w14:paraId="702F34F1" w14:textId="7BCE25BB" w:rsidR="00E01874" w:rsidRPr="00E01874" w:rsidRDefault="00E01874" w:rsidP="00E01874">
      <w:pPr>
        <w:jc w:val="both"/>
        <w:rPr>
          <w:rFonts w:asciiTheme="minorHAnsi" w:hAnsiTheme="minorHAnsi" w:cstheme="minorHAnsi"/>
          <w:sz w:val="22"/>
          <w:szCs w:val="22"/>
        </w:rPr>
      </w:pPr>
      <w:r w:rsidRPr="00E01874">
        <w:rPr>
          <w:rFonts w:asciiTheme="minorHAnsi" w:hAnsiTheme="minorHAnsi" w:cstheme="minorHAnsi"/>
          <w:sz w:val="22"/>
          <w:szCs w:val="22"/>
        </w:rPr>
        <w:t>Quindi con l’articolo 94-bis del D.P.R. n. 380/01, risulta oggi definita la nuova classificazione degli interventi, codificati in funzione dell’importanza ai fini della tutela della pubblica incolumità:</w:t>
      </w:r>
    </w:p>
    <w:p w14:paraId="5E0EE7FA" w14:textId="5522C941" w:rsidR="00E01874" w:rsidRPr="00E01874" w:rsidRDefault="00E01874" w:rsidP="00FD5E5C">
      <w:pPr>
        <w:numPr>
          <w:ilvl w:val="0"/>
          <w:numId w:val="15"/>
        </w:numPr>
        <w:jc w:val="both"/>
        <w:rPr>
          <w:rFonts w:asciiTheme="minorHAnsi" w:hAnsiTheme="minorHAnsi" w:cstheme="minorHAnsi"/>
          <w:sz w:val="22"/>
          <w:szCs w:val="22"/>
        </w:rPr>
      </w:pPr>
      <w:r w:rsidRPr="00E01874">
        <w:rPr>
          <w:rFonts w:asciiTheme="minorHAnsi" w:hAnsiTheme="minorHAnsi" w:cstheme="minorHAnsi"/>
          <w:sz w:val="22"/>
          <w:szCs w:val="22"/>
        </w:rPr>
        <w:t>interventi “</w:t>
      </w:r>
      <w:r w:rsidRPr="00E01874">
        <w:rPr>
          <w:rFonts w:asciiTheme="minorHAnsi" w:hAnsiTheme="minorHAnsi" w:cstheme="minorHAnsi"/>
          <w:b/>
          <w:bCs/>
          <w:sz w:val="22"/>
          <w:szCs w:val="22"/>
        </w:rPr>
        <w:t>rilevanti</w:t>
      </w:r>
      <w:r w:rsidRPr="00E01874">
        <w:rPr>
          <w:rFonts w:asciiTheme="minorHAnsi" w:hAnsiTheme="minorHAnsi" w:cstheme="minorHAnsi"/>
          <w:sz w:val="22"/>
          <w:szCs w:val="22"/>
        </w:rPr>
        <w:t>” nei riguardi della pubblica incolumità: costituiti da adeguamenti e miglioramenti sismici in Zona sismica 1 e Zona sismica 2 (limitatamente al valore di ag2≥ 0.20), nuove costruzioni di particolare complessità ed interventi sugli edifici strategici e rilevanti (in Zone 1 e 2, ad alta sismicità);</w:t>
      </w:r>
    </w:p>
    <w:p w14:paraId="7CE64758" w14:textId="4BB6EFFF" w:rsidR="00E01874" w:rsidRPr="00E01874" w:rsidRDefault="00E01874" w:rsidP="00FD5E5C">
      <w:pPr>
        <w:numPr>
          <w:ilvl w:val="0"/>
          <w:numId w:val="15"/>
        </w:numPr>
        <w:jc w:val="both"/>
        <w:rPr>
          <w:rFonts w:asciiTheme="minorHAnsi" w:hAnsiTheme="minorHAnsi" w:cstheme="minorHAnsi"/>
          <w:sz w:val="22"/>
          <w:szCs w:val="22"/>
        </w:rPr>
      </w:pPr>
      <w:r w:rsidRPr="00E01874">
        <w:rPr>
          <w:rFonts w:asciiTheme="minorHAnsi" w:hAnsiTheme="minorHAnsi" w:cstheme="minorHAnsi"/>
          <w:sz w:val="22"/>
          <w:szCs w:val="22"/>
        </w:rPr>
        <w:t>interventi di “</w:t>
      </w:r>
      <w:r w:rsidRPr="00E01874">
        <w:rPr>
          <w:rFonts w:asciiTheme="minorHAnsi" w:hAnsiTheme="minorHAnsi" w:cstheme="minorHAnsi"/>
          <w:b/>
          <w:bCs/>
          <w:sz w:val="22"/>
          <w:szCs w:val="22"/>
        </w:rPr>
        <w:t>minore rilevanza</w:t>
      </w:r>
      <w:r w:rsidRPr="00E01874">
        <w:rPr>
          <w:rFonts w:asciiTheme="minorHAnsi" w:hAnsiTheme="minorHAnsi" w:cstheme="minorHAnsi"/>
          <w:sz w:val="22"/>
          <w:szCs w:val="22"/>
        </w:rPr>
        <w:t xml:space="preserve">” nei riguardi della pubblica incolumità: costituiti da adeguamenti e miglioramenti sismici di costruzioni esistenti nelle zone sismiche a media </w:t>
      </w:r>
      <w:r w:rsidRPr="00E01874">
        <w:rPr>
          <w:rFonts w:asciiTheme="minorHAnsi" w:hAnsiTheme="minorHAnsi" w:cstheme="minorHAnsi"/>
          <w:sz w:val="22"/>
          <w:szCs w:val="22"/>
        </w:rPr>
        <w:lastRenderedPageBreak/>
        <w:t xml:space="preserve">sismicità (Zona 3 e Zona 2 con 0.15≤ </w:t>
      </w:r>
      <w:proofErr w:type="spellStart"/>
      <w:r w:rsidRPr="00E01874">
        <w:rPr>
          <w:rFonts w:asciiTheme="minorHAnsi" w:hAnsiTheme="minorHAnsi" w:cstheme="minorHAnsi"/>
          <w:sz w:val="22"/>
          <w:szCs w:val="22"/>
        </w:rPr>
        <w:t>ag</w:t>
      </w:r>
      <w:proofErr w:type="spellEnd"/>
      <w:r w:rsidRPr="00E01874">
        <w:rPr>
          <w:rFonts w:asciiTheme="minorHAnsi" w:hAnsiTheme="minorHAnsi" w:cstheme="minorHAnsi"/>
          <w:sz w:val="22"/>
          <w:szCs w:val="22"/>
        </w:rPr>
        <w:t xml:space="preserve"> ≤ 0.20), nuove costruzioni di non particolare complessità, nelle zone a bassa sismicità (Zone 3 e 4) ed interventi locali;</w:t>
      </w:r>
    </w:p>
    <w:p w14:paraId="294BFFE5" w14:textId="64FF5F9B" w:rsidR="00E01874" w:rsidRPr="00E01874" w:rsidRDefault="00E01874" w:rsidP="00FD5E5C">
      <w:pPr>
        <w:numPr>
          <w:ilvl w:val="0"/>
          <w:numId w:val="15"/>
        </w:numPr>
        <w:jc w:val="both"/>
        <w:rPr>
          <w:rFonts w:asciiTheme="minorHAnsi" w:hAnsiTheme="minorHAnsi" w:cstheme="minorHAnsi"/>
          <w:sz w:val="22"/>
          <w:szCs w:val="22"/>
        </w:rPr>
      </w:pPr>
      <w:r w:rsidRPr="00E01874">
        <w:rPr>
          <w:rFonts w:asciiTheme="minorHAnsi" w:hAnsiTheme="minorHAnsi" w:cstheme="minorHAnsi"/>
          <w:sz w:val="22"/>
          <w:szCs w:val="22"/>
        </w:rPr>
        <w:t>interventi “</w:t>
      </w:r>
      <w:r w:rsidRPr="00E01874">
        <w:rPr>
          <w:rFonts w:asciiTheme="minorHAnsi" w:hAnsiTheme="minorHAnsi" w:cstheme="minorHAnsi"/>
          <w:b/>
          <w:bCs/>
          <w:sz w:val="22"/>
          <w:szCs w:val="22"/>
        </w:rPr>
        <w:t>privi di rilevanza</w:t>
      </w:r>
      <w:r w:rsidRPr="00E01874">
        <w:rPr>
          <w:rFonts w:asciiTheme="minorHAnsi" w:hAnsiTheme="minorHAnsi" w:cstheme="minorHAnsi"/>
          <w:sz w:val="22"/>
          <w:szCs w:val="22"/>
        </w:rPr>
        <w:t>” nei riguardi della pubblica incolumità: gli interventi che per loro caratteristiche intrinseche e per destinazione d’uso, non costituiscono pericolo per la pubblica incolumità.</w:t>
      </w:r>
    </w:p>
    <w:p w14:paraId="0B5F80BC" w14:textId="77777777" w:rsidR="00FD5E5C" w:rsidRDefault="00FD5E5C" w:rsidP="00E01874">
      <w:pPr>
        <w:jc w:val="both"/>
        <w:rPr>
          <w:rFonts w:asciiTheme="minorHAnsi" w:hAnsiTheme="minorHAnsi" w:cstheme="minorHAnsi"/>
          <w:sz w:val="22"/>
          <w:szCs w:val="22"/>
        </w:rPr>
      </w:pPr>
    </w:p>
    <w:p w14:paraId="63A4B0A8" w14:textId="3403A862" w:rsidR="00E01874" w:rsidRPr="00E01874" w:rsidRDefault="00E01874" w:rsidP="00E01874">
      <w:pPr>
        <w:jc w:val="both"/>
        <w:rPr>
          <w:rFonts w:asciiTheme="minorHAnsi" w:hAnsiTheme="minorHAnsi" w:cstheme="minorHAnsi"/>
          <w:sz w:val="22"/>
          <w:szCs w:val="22"/>
        </w:rPr>
      </w:pPr>
      <w:r w:rsidRPr="00E01874">
        <w:rPr>
          <w:rFonts w:asciiTheme="minorHAnsi" w:hAnsiTheme="minorHAnsi" w:cstheme="minorHAnsi"/>
          <w:sz w:val="22"/>
          <w:szCs w:val="22"/>
        </w:rPr>
        <w:t>Ad essi si aggiungono anche le “</w:t>
      </w:r>
      <w:r w:rsidRPr="00E01874">
        <w:rPr>
          <w:rFonts w:asciiTheme="minorHAnsi" w:hAnsiTheme="minorHAnsi" w:cstheme="minorHAnsi"/>
          <w:b/>
          <w:bCs/>
          <w:i/>
          <w:iCs/>
          <w:sz w:val="22"/>
          <w:szCs w:val="22"/>
        </w:rPr>
        <w:t>varianti di carattere non sostanziale</w:t>
      </w:r>
      <w:r w:rsidRPr="00E01874">
        <w:rPr>
          <w:rFonts w:asciiTheme="minorHAnsi" w:hAnsiTheme="minorHAnsi" w:cstheme="minorHAnsi"/>
          <w:i/>
          <w:iCs/>
          <w:sz w:val="22"/>
          <w:szCs w:val="22"/>
        </w:rPr>
        <w:t xml:space="preserve">” </w:t>
      </w:r>
      <w:r w:rsidRPr="00E01874">
        <w:rPr>
          <w:rFonts w:asciiTheme="minorHAnsi" w:hAnsiTheme="minorHAnsi" w:cstheme="minorHAnsi"/>
          <w:sz w:val="22"/>
          <w:szCs w:val="22"/>
        </w:rPr>
        <w:t>le quali, nello spirito di snellimento procedurale della legge n. 55/19 sono esonerate dal preavviso scritto (deposito) di cui all’articolo 93 del D.P.R. n. 380/01.</w:t>
      </w:r>
    </w:p>
    <w:p w14:paraId="7B36EDFA" w14:textId="77777777" w:rsidR="00FD5E5C" w:rsidRDefault="00FD5E5C" w:rsidP="00E01874">
      <w:pPr>
        <w:jc w:val="both"/>
        <w:rPr>
          <w:rFonts w:asciiTheme="minorHAnsi" w:hAnsiTheme="minorHAnsi" w:cstheme="minorHAnsi"/>
          <w:sz w:val="22"/>
          <w:szCs w:val="22"/>
        </w:rPr>
      </w:pPr>
    </w:p>
    <w:p w14:paraId="401A0D46" w14:textId="69DA6A8F" w:rsidR="00E01874" w:rsidRPr="00E01874" w:rsidRDefault="00E01874" w:rsidP="00E01874">
      <w:pPr>
        <w:jc w:val="both"/>
        <w:rPr>
          <w:rFonts w:asciiTheme="minorHAnsi" w:hAnsiTheme="minorHAnsi" w:cstheme="minorHAnsi"/>
          <w:sz w:val="22"/>
          <w:szCs w:val="22"/>
        </w:rPr>
      </w:pPr>
      <w:r w:rsidRPr="00E01874">
        <w:rPr>
          <w:rFonts w:asciiTheme="minorHAnsi" w:hAnsiTheme="minorHAnsi" w:cstheme="minorHAnsi"/>
          <w:sz w:val="22"/>
          <w:szCs w:val="22"/>
        </w:rPr>
        <w:t>Di conseguenza, la Regione Umbria, a seguito della pubblicazione del D.L. n. 32/2019 e sfruttando, ai sensi del comma 2 dell’art. 94-bis del D.P.R. n. 380/01, la possibilità concessa alle regioni che avevano già adottato e sperimentato analoghe forme di semplificazione in materia sismica ed in possesso dei relativi elenchi di opere ed interventi, ha approvato la deliberazione di Giunta regionale n. 593 del 6 maggio 2019.</w:t>
      </w:r>
    </w:p>
    <w:p w14:paraId="1562E7BE" w14:textId="77777777" w:rsidR="00FD5E5C" w:rsidRDefault="00FD5E5C" w:rsidP="00E01874">
      <w:pPr>
        <w:jc w:val="both"/>
        <w:rPr>
          <w:rFonts w:asciiTheme="minorHAnsi" w:hAnsiTheme="minorHAnsi" w:cstheme="minorHAnsi"/>
          <w:sz w:val="22"/>
          <w:szCs w:val="22"/>
        </w:rPr>
      </w:pPr>
    </w:p>
    <w:p w14:paraId="427C1404" w14:textId="05547D98" w:rsidR="00E01874" w:rsidRPr="00E01874" w:rsidRDefault="00E01874" w:rsidP="00E01874">
      <w:pPr>
        <w:jc w:val="both"/>
        <w:rPr>
          <w:rFonts w:asciiTheme="minorHAnsi" w:hAnsiTheme="minorHAnsi" w:cstheme="minorHAnsi"/>
          <w:sz w:val="22"/>
          <w:szCs w:val="22"/>
        </w:rPr>
      </w:pPr>
      <w:r w:rsidRPr="00E01874">
        <w:rPr>
          <w:rFonts w:asciiTheme="minorHAnsi" w:hAnsiTheme="minorHAnsi" w:cstheme="minorHAnsi"/>
          <w:sz w:val="22"/>
          <w:szCs w:val="22"/>
        </w:rPr>
        <w:t>Suddetta opportunità era subordinata al riallineamento degli elenchi adottati e dei relativi procedimenti amministrativi regionale con le Linee Guida nazionali previste materia dal comma 2 dell’articolo 94-bis del D.P.R. n. 380/01.</w:t>
      </w:r>
    </w:p>
    <w:p w14:paraId="2D18B246" w14:textId="6B836153" w:rsidR="00E01874" w:rsidRPr="00E01874" w:rsidRDefault="00E01874" w:rsidP="00E01874">
      <w:pPr>
        <w:jc w:val="both"/>
        <w:rPr>
          <w:rFonts w:asciiTheme="minorHAnsi" w:hAnsiTheme="minorHAnsi" w:cstheme="minorHAnsi"/>
          <w:sz w:val="22"/>
          <w:szCs w:val="22"/>
        </w:rPr>
      </w:pPr>
      <w:r w:rsidRPr="00E01874">
        <w:rPr>
          <w:rFonts w:asciiTheme="minorHAnsi" w:hAnsiTheme="minorHAnsi" w:cstheme="minorHAnsi"/>
          <w:sz w:val="22"/>
          <w:szCs w:val="22"/>
        </w:rPr>
        <w:t>Nel frattempo, le Regioni e il Ministero delle Infrastrutture e Trasporti (MIT) hanno avviato un intenso confronto tecnico che ha portato alla definizione delle suddette Linee Guida nazionali con decreto del 30 aprile 2020, le quali forniscono indicazioni comuni alla costituzione degli elenchi regionali.</w:t>
      </w:r>
    </w:p>
    <w:p w14:paraId="413C13BA" w14:textId="77777777" w:rsidR="00FD5E5C" w:rsidRDefault="00FD5E5C" w:rsidP="00E01874">
      <w:pPr>
        <w:jc w:val="both"/>
        <w:rPr>
          <w:rFonts w:asciiTheme="minorHAnsi" w:hAnsiTheme="minorHAnsi" w:cstheme="minorHAnsi"/>
          <w:sz w:val="22"/>
          <w:szCs w:val="22"/>
        </w:rPr>
      </w:pPr>
    </w:p>
    <w:p w14:paraId="277BF296" w14:textId="0E612E5B" w:rsidR="00E01874" w:rsidRPr="00E01874" w:rsidRDefault="00E01874" w:rsidP="00E01874">
      <w:pPr>
        <w:jc w:val="both"/>
        <w:rPr>
          <w:rFonts w:asciiTheme="minorHAnsi" w:hAnsiTheme="minorHAnsi" w:cstheme="minorHAnsi"/>
          <w:sz w:val="22"/>
          <w:szCs w:val="22"/>
        </w:rPr>
      </w:pPr>
      <w:r w:rsidRPr="00E01874">
        <w:rPr>
          <w:rFonts w:asciiTheme="minorHAnsi" w:hAnsiTheme="minorHAnsi" w:cstheme="minorHAnsi"/>
          <w:sz w:val="22"/>
          <w:szCs w:val="22"/>
        </w:rPr>
        <w:t xml:space="preserve">Alla luce dell’emanazione delle suddette Linee Guida ministeriali, anche </w:t>
      </w:r>
      <w:r w:rsidRPr="00E01874">
        <w:rPr>
          <w:rFonts w:asciiTheme="minorHAnsi" w:hAnsiTheme="minorHAnsi" w:cstheme="minorHAnsi"/>
          <w:b/>
          <w:bCs/>
          <w:sz w:val="22"/>
          <w:szCs w:val="22"/>
        </w:rPr>
        <w:t>la Regione Umbria, con la Deliberazione in esame ha provveduto a riaccordare i propri strumenti contenuti nella deliberazione di Giunta regionale n. 593/2019, rivisitando e riadottando le specifiche elencazioni degli interventi privi di rilevanza, di minore rilevanza e rilevanti nei riguardi della pubblica incolumità e delle varianti a carattere non sostanziale</w:t>
      </w:r>
      <w:r w:rsidRPr="00E01874">
        <w:rPr>
          <w:rFonts w:asciiTheme="minorHAnsi" w:hAnsiTheme="minorHAnsi" w:cstheme="minorHAnsi"/>
          <w:sz w:val="22"/>
          <w:szCs w:val="22"/>
        </w:rPr>
        <w:t xml:space="preserve">, riportati negli Allegati 1, 2, 3 e 4 al testo che si </w:t>
      </w:r>
      <w:r w:rsidRPr="00AA6F0C">
        <w:rPr>
          <w:rFonts w:asciiTheme="minorHAnsi" w:hAnsiTheme="minorHAnsi" w:cstheme="minorHAnsi"/>
          <w:b/>
          <w:bCs/>
          <w:sz w:val="22"/>
          <w:szCs w:val="22"/>
        </w:rPr>
        <w:t>allega</w:t>
      </w:r>
      <w:r w:rsidRPr="00E01874">
        <w:rPr>
          <w:rFonts w:asciiTheme="minorHAnsi" w:hAnsiTheme="minorHAnsi" w:cstheme="minorHAnsi"/>
          <w:sz w:val="22"/>
          <w:szCs w:val="22"/>
        </w:rPr>
        <w:t>.</w:t>
      </w:r>
    </w:p>
    <w:p w14:paraId="34D96B2D" w14:textId="77777777" w:rsidR="00FD5E5C" w:rsidRDefault="00FD5E5C" w:rsidP="00E01874">
      <w:pPr>
        <w:jc w:val="both"/>
        <w:rPr>
          <w:rFonts w:asciiTheme="minorHAnsi" w:hAnsiTheme="minorHAnsi" w:cstheme="minorHAnsi"/>
          <w:sz w:val="22"/>
          <w:szCs w:val="22"/>
        </w:rPr>
      </w:pPr>
    </w:p>
    <w:p w14:paraId="59161F16" w14:textId="171C5444" w:rsidR="00E01874" w:rsidRPr="00E01874" w:rsidRDefault="00E01874" w:rsidP="00E01874">
      <w:pPr>
        <w:jc w:val="both"/>
        <w:rPr>
          <w:rFonts w:asciiTheme="minorHAnsi" w:hAnsiTheme="minorHAnsi" w:cstheme="minorHAnsi"/>
          <w:sz w:val="22"/>
          <w:szCs w:val="22"/>
        </w:rPr>
      </w:pPr>
      <w:r w:rsidRPr="00E01874">
        <w:rPr>
          <w:rFonts w:asciiTheme="minorHAnsi" w:hAnsiTheme="minorHAnsi" w:cstheme="minorHAnsi"/>
          <w:sz w:val="22"/>
          <w:szCs w:val="22"/>
        </w:rPr>
        <w:t>Gli interventi di minore rilevanza e quelli rilevanti nei riguardi della pubblica incolumità nonché le varianti a carattere non sostanziale continuano ad essere depositati presso l’autorità competente regionale; al contrario, gli interventi “privi di rilevanza” nei riguardi della pubblica incolumità saranno depositati, secondo le disposizioni delle linee guida nazionali, esclusivamente presso il comune competente (nel caso della Regione Umbria, presso il SUAPE).</w:t>
      </w:r>
    </w:p>
    <w:p w14:paraId="31C3DA9E" w14:textId="77777777" w:rsidR="00FD5E5C" w:rsidRDefault="00FD5E5C" w:rsidP="00E01874">
      <w:pPr>
        <w:jc w:val="both"/>
        <w:rPr>
          <w:rFonts w:asciiTheme="minorHAnsi" w:hAnsiTheme="minorHAnsi" w:cstheme="minorHAnsi"/>
          <w:sz w:val="22"/>
          <w:szCs w:val="22"/>
        </w:rPr>
      </w:pPr>
    </w:p>
    <w:p w14:paraId="40B36A7B" w14:textId="13F17936" w:rsidR="00E01874" w:rsidRPr="00E01874" w:rsidRDefault="00E01874" w:rsidP="00E01874">
      <w:pPr>
        <w:jc w:val="both"/>
        <w:rPr>
          <w:rFonts w:asciiTheme="minorHAnsi" w:hAnsiTheme="minorHAnsi" w:cstheme="minorHAnsi"/>
          <w:sz w:val="22"/>
          <w:szCs w:val="22"/>
        </w:rPr>
      </w:pPr>
      <w:r w:rsidRPr="00E01874">
        <w:rPr>
          <w:rFonts w:asciiTheme="minorHAnsi" w:hAnsiTheme="minorHAnsi" w:cstheme="minorHAnsi"/>
          <w:sz w:val="22"/>
          <w:szCs w:val="22"/>
        </w:rPr>
        <w:t>La Regione ha ritenuto quindi opportuno procedere alla revisione delle percentuali di estrazione per il controllo a campione degli interventi (ai sensi del comma 5 dell’art. 94-bis del D.P.R. n. 380/01), lasciando invariate le tariffe del rimborso forfettario ex art. 211 della L.R. n. 1/2015.</w:t>
      </w:r>
    </w:p>
    <w:p w14:paraId="3E08C235" w14:textId="41A6BC9C" w:rsidR="00E01874" w:rsidRDefault="00E01874" w:rsidP="00E01874">
      <w:pPr>
        <w:jc w:val="both"/>
        <w:rPr>
          <w:rFonts w:asciiTheme="minorHAnsi" w:hAnsiTheme="minorHAnsi" w:cstheme="minorHAnsi"/>
          <w:sz w:val="22"/>
          <w:szCs w:val="22"/>
        </w:rPr>
      </w:pPr>
      <w:r w:rsidRPr="00E01874">
        <w:rPr>
          <w:rFonts w:asciiTheme="minorHAnsi" w:hAnsiTheme="minorHAnsi" w:cstheme="minorHAnsi"/>
          <w:sz w:val="22"/>
          <w:szCs w:val="22"/>
        </w:rPr>
        <w:t>Il provvedimento, inoltre, stabilisce che, per velocizzare l’azione dell’amministrazione regionale, nei casi in cui i titolari delle istanze trasmesse all’autorità competente in materia sismica (autorizzazioni, depositi, accessi agli atti documentali, verifiche di conformità, etc.) non siano muniti di firma digitale e di Posta Elettronica Certificata (PEC), gli stessi rilasciano procura speciale per scrittura privata al proprio tecnico di fiducia per l’inoltro e la ricezione di documenti e comunicazioni per e dall’amministrazione regionale.</w:t>
      </w:r>
    </w:p>
    <w:p w14:paraId="349E8503" w14:textId="77777777" w:rsidR="00FD5E5C" w:rsidRPr="00E01874" w:rsidRDefault="00FD5E5C" w:rsidP="00E01874">
      <w:pPr>
        <w:jc w:val="both"/>
        <w:rPr>
          <w:rFonts w:asciiTheme="minorHAnsi" w:hAnsiTheme="minorHAnsi" w:cstheme="minorHAnsi"/>
          <w:sz w:val="22"/>
          <w:szCs w:val="22"/>
        </w:rPr>
      </w:pPr>
    </w:p>
    <w:p w14:paraId="710F36B4" w14:textId="4061A3D9" w:rsidR="00E01874" w:rsidRDefault="00E01874" w:rsidP="00E01874">
      <w:pPr>
        <w:jc w:val="both"/>
        <w:rPr>
          <w:rFonts w:asciiTheme="minorHAnsi" w:hAnsiTheme="minorHAnsi" w:cstheme="minorHAnsi"/>
          <w:sz w:val="22"/>
          <w:szCs w:val="22"/>
        </w:rPr>
      </w:pPr>
      <w:r w:rsidRPr="00E01874">
        <w:rPr>
          <w:rFonts w:asciiTheme="minorHAnsi" w:hAnsiTheme="minorHAnsi" w:cstheme="minorHAnsi"/>
          <w:sz w:val="22"/>
          <w:szCs w:val="22"/>
        </w:rPr>
        <w:t>In ogni modo, la Giunta regionale ha stabilito che le procedure approvate con la DGR 596/2020 hanno carattere sperimentale e che, fermo restando ulteriori modifiche della disciplina nazionale in materia, saranno sottoposte a verifica entro sei mesi dalla loro approvazione.</w:t>
      </w:r>
    </w:p>
    <w:p w14:paraId="7CD79AEA" w14:textId="3DD54453" w:rsidR="00FD5E5C" w:rsidRDefault="00FD5E5C" w:rsidP="00E01874">
      <w:pPr>
        <w:jc w:val="both"/>
        <w:rPr>
          <w:rFonts w:asciiTheme="minorHAnsi" w:hAnsiTheme="minorHAnsi" w:cstheme="minorHAnsi"/>
          <w:sz w:val="22"/>
          <w:szCs w:val="22"/>
        </w:rPr>
      </w:pPr>
    </w:p>
    <w:p w14:paraId="39AB0124" w14:textId="70578583" w:rsidR="00BE5673" w:rsidRDefault="00BE5673" w:rsidP="00E01874">
      <w:pPr>
        <w:jc w:val="both"/>
        <w:rPr>
          <w:rFonts w:asciiTheme="minorHAnsi" w:hAnsiTheme="minorHAnsi" w:cstheme="minorHAnsi"/>
          <w:sz w:val="22"/>
          <w:szCs w:val="22"/>
        </w:rPr>
      </w:pPr>
    </w:p>
    <w:p w14:paraId="68A9DEB6" w14:textId="57D1CA27" w:rsidR="00BE5673" w:rsidRDefault="00BE5673" w:rsidP="00E01874">
      <w:pPr>
        <w:jc w:val="both"/>
        <w:rPr>
          <w:rFonts w:asciiTheme="minorHAnsi" w:hAnsiTheme="minorHAnsi" w:cstheme="minorHAnsi"/>
          <w:sz w:val="22"/>
          <w:szCs w:val="22"/>
        </w:rPr>
      </w:pPr>
    </w:p>
    <w:p w14:paraId="2645126F" w14:textId="77777777" w:rsidR="00BE5673" w:rsidRPr="00E01874" w:rsidRDefault="00BE5673" w:rsidP="00E01874">
      <w:pPr>
        <w:jc w:val="both"/>
        <w:rPr>
          <w:rFonts w:asciiTheme="minorHAnsi" w:hAnsiTheme="minorHAnsi" w:cstheme="minorHAnsi"/>
          <w:sz w:val="22"/>
          <w:szCs w:val="22"/>
        </w:rPr>
      </w:pPr>
    </w:p>
    <w:p w14:paraId="6FB29438" w14:textId="77777777" w:rsidR="00E01874" w:rsidRPr="00E01874" w:rsidRDefault="00E01874" w:rsidP="00E01874">
      <w:pPr>
        <w:jc w:val="both"/>
        <w:rPr>
          <w:rFonts w:asciiTheme="minorHAnsi" w:hAnsiTheme="minorHAnsi" w:cstheme="minorHAnsi"/>
          <w:sz w:val="22"/>
          <w:szCs w:val="22"/>
        </w:rPr>
      </w:pPr>
      <w:r w:rsidRPr="00E01874">
        <w:rPr>
          <w:rFonts w:asciiTheme="minorHAnsi" w:hAnsiTheme="minorHAnsi" w:cstheme="minorHAnsi"/>
          <w:sz w:val="22"/>
          <w:szCs w:val="22"/>
        </w:rPr>
        <w:lastRenderedPageBreak/>
        <w:t>Da ultimo, la Regione chiarisce che, nelle more di attuazione delle nuove misure organizzative che prevederanno di assegnare:</w:t>
      </w:r>
    </w:p>
    <w:p w14:paraId="30ED19DD" w14:textId="11E0F064" w:rsidR="00E01874" w:rsidRPr="00E82CB1" w:rsidRDefault="00E01874" w:rsidP="00FD5E5C">
      <w:pPr>
        <w:numPr>
          <w:ilvl w:val="0"/>
          <w:numId w:val="16"/>
        </w:numPr>
        <w:jc w:val="both"/>
        <w:rPr>
          <w:rFonts w:asciiTheme="minorHAnsi" w:hAnsiTheme="minorHAnsi" w:cstheme="minorHAnsi"/>
          <w:sz w:val="22"/>
          <w:szCs w:val="22"/>
        </w:rPr>
      </w:pPr>
      <w:r w:rsidRPr="00E01874">
        <w:rPr>
          <w:rFonts w:asciiTheme="minorHAnsi" w:hAnsiTheme="minorHAnsi" w:cstheme="minorHAnsi"/>
          <w:sz w:val="22"/>
          <w:szCs w:val="22"/>
        </w:rPr>
        <w:t xml:space="preserve">la gestione delle pratiche sismiche della ricostruzione privata e pubblica post terremoto 2016 (ora attribuite al Servizio regionale “Rischio idrogeologico, idraulico e sismico, Difesa </w:t>
      </w:r>
      <w:r w:rsidRPr="00E82CB1">
        <w:rPr>
          <w:rFonts w:asciiTheme="minorHAnsi" w:hAnsiTheme="minorHAnsi" w:cstheme="minorHAnsi"/>
          <w:sz w:val="22"/>
          <w:szCs w:val="22"/>
        </w:rPr>
        <w:t>del suolo”) direttamente all’Ufficio Speciale Ricostruzione Umbria</w:t>
      </w:r>
      <w:r w:rsidR="00E817C3" w:rsidRPr="00E82CB1">
        <w:rPr>
          <w:rFonts w:asciiTheme="minorHAnsi" w:hAnsiTheme="minorHAnsi" w:cstheme="minorHAnsi"/>
          <w:sz w:val="22"/>
          <w:szCs w:val="22"/>
        </w:rPr>
        <w:t>,</w:t>
      </w:r>
    </w:p>
    <w:p w14:paraId="34456304" w14:textId="05444B14" w:rsidR="00404DD3" w:rsidRPr="00E82CB1" w:rsidRDefault="00E01874" w:rsidP="00404DD3">
      <w:pPr>
        <w:numPr>
          <w:ilvl w:val="0"/>
          <w:numId w:val="16"/>
        </w:numPr>
        <w:jc w:val="both"/>
        <w:rPr>
          <w:rFonts w:asciiTheme="minorHAnsi" w:hAnsiTheme="minorHAnsi" w:cstheme="minorHAnsi"/>
          <w:sz w:val="22"/>
          <w:szCs w:val="22"/>
        </w:rPr>
      </w:pPr>
      <w:r w:rsidRPr="00E82CB1">
        <w:rPr>
          <w:rFonts w:asciiTheme="minorHAnsi" w:hAnsiTheme="minorHAnsi" w:cstheme="minorHAnsi"/>
          <w:sz w:val="22"/>
          <w:szCs w:val="22"/>
        </w:rPr>
        <w:t>il rilascio dei provvedimenti in materia sismica delle pratiche della ricostruzione pubblica e privata post terremoto 2016 al dirigente dell’Ufficio Speciale Ricostruzione Umbria - Ricostruzione privata sisma 2016</w:t>
      </w:r>
      <w:r w:rsidR="00E817C3" w:rsidRPr="00E82CB1">
        <w:rPr>
          <w:rFonts w:asciiTheme="minorHAnsi" w:hAnsiTheme="minorHAnsi" w:cstheme="minorHAnsi"/>
          <w:sz w:val="22"/>
          <w:szCs w:val="22"/>
        </w:rPr>
        <w:t>,</w:t>
      </w:r>
    </w:p>
    <w:p w14:paraId="54328CB7" w14:textId="4CB742C5" w:rsidR="00404DD3" w:rsidRDefault="00404DD3" w:rsidP="00404DD3">
      <w:pPr>
        <w:ind w:left="720"/>
        <w:jc w:val="both"/>
        <w:rPr>
          <w:rFonts w:asciiTheme="minorHAnsi" w:hAnsiTheme="minorHAnsi" w:cstheme="minorHAnsi"/>
          <w:sz w:val="22"/>
          <w:szCs w:val="22"/>
        </w:rPr>
      </w:pPr>
    </w:p>
    <w:p w14:paraId="65868C18" w14:textId="324D24A5" w:rsidR="00E01874" w:rsidRPr="00404DD3" w:rsidRDefault="00E01874" w:rsidP="00404DD3">
      <w:pPr>
        <w:jc w:val="both"/>
        <w:rPr>
          <w:rFonts w:asciiTheme="minorHAnsi" w:hAnsiTheme="minorHAnsi" w:cstheme="minorHAnsi"/>
          <w:sz w:val="22"/>
          <w:szCs w:val="22"/>
        </w:rPr>
      </w:pPr>
      <w:r w:rsidRPr="00404DD3">
        <w:rPr>
          <w:rFonts w:asciiTheme="minorHAnsi" w:hAnsiTheme="minorHAnsi" w:cstheme="minorHAnsi"/>
          <w:sz w:val="22"/>
          <w:szCs w:val="22"/>
        </w:rPr>
        <w:t>con l’efficacia della Deliberazione in esame cessi il trasferimento manuale dei dati e della documentazione progettuale delle pratiche sismiche della ricostruzione privata dal sistema informatico MUDE (in uso all’USR-Umbria) al sistema informatico SISMICA (piattaforma per la gestione delle pratiche sismiche regionali). L’Ufficio Speciale Ricostruzione Umbria, per la gestione delle pratiche sismiche di interventi privati per la ricostruzione post sisma 2016, si avvarrà esclusivamente della propria piattaforma MUDE e del proprio personale. Al contrario, l’USR Umbria, per la gestione delle pratiche sismiche di interventi pubblici per la ricostruzione post sisma 2016, continuerà ad avvalersi, esclusivamente con il proprio personale, della piattaforma telematica regionale Umbria-</w:t>
      </w:r>
      <w:proofErr w:type="spellStart"/>
      <w:r w:rsidRPr="00404DD3">
        <w:rPr>
          <w:rFonts w:asciiTheme="minorHAnsi" w:hAnsiTheme="minorHAnsi" w:cstheme="minorHAnsi"/>
          <w:sz w:val="22"/>
          <w:szCs w:val="22"/>
        </w:rPr>
        <w:t>SiS</w:t>
      </w:r>
      <w:proofErr w:type="spellEnd"/>
      <w:r w:rsidRPr="00404DD3">
        <w:rPr>
          <w:rFonts w:asciiTheme="minorHAnsi" w:hAnsiTheme="minorHAnsi" w:cstheme="minorHAnsi"/>
          <w:sz w:val="22"/>
          <w:szCs w:val="22"/>
        </w:rPr>
        <w:t xml:space="preserve"> e del sistema informatico regionale SISMICA.</w:t>
      </w:r>
    </w:p>
    <w:p w14:paraId="75B9687B" w14:textId="77777777" w:rsidR="00E01874" w:rsidRPr="00E01874" w:rsidRDefault="00E01874" w:rsidP="00E01874">
      <w:pPr>
        <w:jc w:val="both"/>
        <w:rPr>
          <w:rFonts w:asciiTheme="minorHAnsi" w:hAnsiTheme="minorHAnsi" w:cstheme="minorHAnsi"/>
          <w:sz w:val="22"/>
          <w:szCs w:val="22"/>
        </w:rPr>
      </w:pPr>
    </w:p>
    <w:p w14:paraId="64EA28DF" w14:textId="138028CA" w:rsidR="00E01874" w:rsidRPr="00E01874" w:rsidRDefault="00E01874" w:rsidP="00E01874">
      <w:pPr>
        <w:jc w:val="both"/>
        <w:rPr>
          <w:rFonts w:asciiTheme="minorHAnsi" w:hAnsiTheme="minorHAnsi" w:cstheme="minorHAnsi"/>
          <w:sz w:val="22"/>
          <w:szCs w:val="22"/>
        </w:rPr>
      </w:pPr>
      <w:r w:rsidRPr="00E01874">
        <w:rPr>
          <w:rFonts w:asciiTheme="minorHAnsi" w:hAnsiTheme="minorHAnsi" w:cstheme="minorHAnsi"/>
          <w:sz w:val="22"/>
          <w:szCs w:val="22"/>
        </w:rPr>
        <w:t>Si riporta il testo della DGR 16 luglio 2020, n. 596 con i relativi allegati.</w:t>
      </w:r>
    </w:p>
    <w:p w14:paraId="062EEC53" w14:textId="77777777" w:rsidR="00E01874" w:rsidRPr="00E01874" w:rsidRDefault="00E01874" w:rsidP="00E01874">
      <w:pPr>
        <w:jc w:val="both"/>
        <w:rPr>
          <w:rFonts w:asciiTheme="minorHAnsi" w:hAnsiTheme="minorHAnsi" w:cstheme="minorHAnsi"/>
          <w:sz w:val="22"/>
          <w:szCs w:val="22"/>
        </w:rPr>
      </w:pPr>
    </w:p>
    <w:p w14:paraId="2AA62144" w14:textId="77777777" w:rsidR="00E01874" w:rsidRPr="00E01874" w:rsidRDefault="00E01874" w:rsidP="00E01874">
      <w:pPr>
        <w:autoSpaceDE w:val="0"/>
        <w:autoSpaceDN w:val="0"/>
        <w:adjustRightInd w:val="0"/>
        <w:jc w:val="both"/>
        <w:rPr>
          <w:rFonts w:asciiTheme="minorHAnsi" w:hAnsiTheme="minorHAnsi" w:cstheme="minorHAnsi"/>
          <w:b/>
          <w:bCs/>
          <w:color w:val="000000"/>
          <w:sz w:val="22"/>
          <w:szCs w:val="22"/>
        </w:rPr>
      </w:pPr>
    </w:p>
    <w:p w14:paraId="050D7166" w14:textId="36A987E7" w:rsidR="005276B5" w:rsidRDefault="005276B5" w:rsidP="00E01874">
      <w:pPr>
        <w:shd w:val="clear" w:color="auto" w:fill="FFFFFF"/>
        <w:jc w:val="both"/>
        <w:rPr>
          <w:rFonts w:asciiTheme="minorHAnsi" w:hAnsiTheme="minorHAnsi" w:cstheme="minorHAnsi"/>
          <w:sz w:val="22"/>
          <w:szCs w:val="22"/>
        </w:rPr>
      </w:pPr>
    </w:p>
    <w:p w14:paraId="20CF7D70" w14:textId="77777777" w:rsidR="00E01874" w:rsidRPr="00E01874" w:rsidRDefault="00E01874" w:rsidP="00E01874">
      <w:pPr>
        <w:shd w:val="clear" w:color="auto" w:fill="FFFFFF"/>
        <w:jc w:val="both"/>
        <w:rPr>
          <w:rFonts w:asciiTheme="minorHAnsi" w:hAnsiTheme="minorHAnsi" w:cstheme="minorHAnsi"/>
          <w:sz w:val="22"/>
          <w:szCs w:val="22"/>
        </w:rPr>
      </w:pPr>
    </w:p>
    <w:p w14:paraId="3BB916DA" w14:textId="77777777" w:rsidR="009C20B0" w:rsidRPr="00E01874" w:rsidRDefault="009C20B0" w:rsidP="00E01874">
      <w:pPr>
        <w:pStyle w:val="NormaleWeb"/>
        <w:jc w:val="both"/>
        <w:rPr>
          <w:rFonts w:asciiTheme="minorHAnsi" w:hAnsiTheme="minorHAnsi" w:cstheme="minorHAnsi"/>
          <w:sz w:val="22"/>
          <w:szCs w:val="22"/>
        </w:rPr>
      </w:pPr>
    </w:p>
    <w:p w14:paraId="559C0EBE" w14:textId="14D95700" w:rsidR="006411DF" w:rsidRPr="00E01874" w:rsidRDefault="006411DF" w:rsidP="00E01874">
      <w:pPr>
        <w:pStyle w:val="NormaleWeb"/>
        <w:jc w:val="both"/>
        <w:rPr>
          <w:rStyle w:val="Enfasigrassetto"/>
          <w:rFonts w:asciiTheme="minorHAnsi" w:hAnsiTheme="minorHAnsi" w:cstheme="minorHAnsi"/>
          <w:sz w:val="22"/>
          <w:szCs w:val="22"/>
        </w:rPr>
      </w:pPr>
      <w:r w:rsidRPr="00E01874">
        <w:rPr>
          <w:rStyle w:val="Enfasigrassetto"/>
          <w:rFonts w:asciiTheme="minorHAnsi" w:hAnsiTheme="minorHAnsi" w:cstheme="minorHAnsi"/>
          <w:sz w:val="22"/>
          <w:szCs w:val="22"/>
        </w:rPr>
        <w:t>Riferimenti:</w:t>
      </w:r>
    </w:p>
    <w:p w14:paraId="5EEE77D9" w14:textId="77777777" w:rsidR="006411DF" w:rsidRPr="00E01874" w:rsidRDefault="006411DF" w:rsidP="00E01874">
      <w:pPr>
        <w:pStyle w:val="NormaleWeb"/>
        <w:jc w:val="both"/>
        <w:rPr>
          <w:rFonts w:asciiTheme="minorHAnsi" w:hAnsiTheme="minorHAnsi" w:cstheme="minorHAnsi"/>
          <w:sz w:val="22"/>
          <w:szCs w:val="22"/>
        </w:rPr>
      </w:pPr>
      <w:r w:rsidRPr="00E01874">
        <w:rPr>
          <w:rFonts w:asciiTheme="minorHAnsi" w:hAnsiTheme="minorHAnsi" w:cstheme="minorHAnsi"/>
          <w:sz w:val="22"/>
          <w:szCs w:val="22"/>
        </w:rPr>
        <w:t>ANCE UMBRIA</w:t>
      </w:r>
    </w:p>
    <w:p w14:paraId="7D78A98D" w14:textId="6B907D09" w:rsidR="006411DF" w:rsidRPr="00E01874" w:rsidRDefault="006411DF" w:rsidP="00E01874">
      <w:pPr>
        <w:pStyle w:val="NormaleWeb"/>
        <w:jc w:val="both"/>
        <w:rPr>
          <w:rFonts w:asciiTheme="minorHAnsi" w:hAnsiTheme="minorHAnsi" w:cstheme="minorHAnsi"/>
          <w:sz w:val="22"/>
          <w:szCs w:val="22"/>
        </w:rPr>
      </w:pPr>
      <w:r w:rsidRPr="00E01874">
        <w:rPr>
          <w:rFonts w:asciiTheme="minorHAnsi" w:hAnsiTheme="minorHAnsi" w:cstheme="minorHAnsi"/>
          <w:sz w:val="22"/>
          <w:szCs w:val="22"/>
        </w:rPr>
        <w:t xml:space="preserve">Perugia – </w:t>
      </w:r>
      <w:hyperlink r:id="rId7" w:history="1">
        <w:r w:rsidRPr="00E01874">
          <w:rPr>
            <w:rStyle w:val="Collegamentoipertestuale"/>
            <w:rFonts w:asciiTheme="minorHAnsi" w:hAnsiTheme="minorHAnsi" w:cstheme="minorHAnsi"/>
            <w:sz w:val="22"/>
            <w:szCs w:val="22"/>
          </w:rPr>
          <w:t>info@anceumbria.it</w:t>
        </w:r>
      </w:hyperlink>
      <w:r w:rsidRPr="00E01874">
        <w:rPr>
          <w:rFonts w:asciiTheme="minorHAnsi" w:hAnsiTheme="minorHAnsi" w:cstheme="minorHAnsi"/>
          <w:sz w:val="22"/>
          <w:szCs w:val="22"/>
        </w:rPr>
        <w:t xml:space="preserve"> - Tel. 075/582751</w:t>
      </w:r>
    </w:p>
    <w:p w14:paraId="190D91BE" w14:textId="469279D8" w:rsidR="006411DF" w:rsidRPr="00E01874" w:rsidRDefault="006411DF" w:rsidP="00E01874">
      <w:pPr>
        <w:pStyle w:val="NormaleWeb"/>
        <w:jc w:val="both"/>
        <w:rPr>
          <w:rFonts w:asciiTheme="minorHAnsi" w:hAnsiTheme="minorHAnsi" w:cstheme="minorHAnsi"/>
          <w:sz w:val="22"/>
          <w:szCs w:val="22"/>
        </w:rPr>
      </w:pPr>
      <w:r w:rsidRPr="00E01874">
        <w:rPr>
          <w:rFonts w:asciiTheme="minorHAnsi" w:hAnsiTheme="minorHAnsi" w:cstheme="minorHAnsi"/>
          <w:sz w:val="22"/>
          <w:szCs w:val="22"/>
        </w:rPr>
        <w:t xml:space="preserve">Terni - </w:t>
      </w:r>
      <w:hyperlink r:id="rId8" w:history="1">
        <w:r w:rsidRPr="00E01874">
          <w:rPr>
            <w:rStyle w:val="Collegamentoipertestuale"/>
            <w:rFonts w:asciiTheme="minorHAnsi" w:hAnsiTheme="minorHAnsi" w:cstheme="minorHAnsi"/>
            <w:sz w:val="22"/>
            <w:szCs w:val="22"/>
          </w:rPr>
          <w:t>edilizia@confindustria.terni.it</w:t>
        </w:r>
      </w:hyperlink>
      <w:r w:rsidRPr="00E01874">
        <w:rPr>
          <w:rFonts w:asciiTheme="minorHAnsi" w:hAnsiTheme="minorHAnsi" w:cstheme="minorHAnsi"/>
          <w:sz w:val="22"/>
          <w:szCs w:val="22"/>
        </w:rPr>
        <w:t xml:space="preserve"> - Tel. 0744/443411</w:t>
      </w:r>
    </w:p>
    <w:p w14:paraId="389CE1E4" w14:textId="7F95CC6F" w:rsidR="005A6420" w:rsidRPr="00E01874" w:rsidRDefault="005A6420" w:rsidP="00E01874">
      <w:pPr>
        <w:tabs>
          <w:tab w:val="left" w:pos="720"/>
          <w:tab w:val="left" w:pos="900"/>
          <w:tab w:val="left" w:pos="1260"/>
          <w:tab w:val="left" w:pos="5580"/>
          <w:tab w:val="left" w:pos="6120"/>
        </w:tabs>
        <w:ind w:left="142" w:right="-2"/>
        <w:jc w:val="both"/>
        <w:rPr>
          <w:rFonts w:asciiTheme="minorHAnsi" w:hAnsiTheme="minorHAnsi" w:cstheme="minorHAnsi"/>
          <w:sz w:val="22"/>
          <w:szCs w:val="22"/>
        </w:rPr>
      </w:pPr>
    </w:p>
    <w:p w14:paraId="5547163E" w14:textId="0D5F794F" w:rsidR="00371573" w:rsidRPr="00E01874" w:rsidRDefault="00371573" w:rsidP="00E01874">
      <w:pPr>
        <w:tabs>
          <w:tab w:val="left" w:pos="720"/>
          <w:tab w:val="left" w:pos="900"/>
          <w:tab w:val="left" w:pos="1260"/>
          <w:tab w:val="left" w:pos="5580"/>
          <w:tab w:val="left" w:pos="6120"/>
        </w:tabs>
        <w:ind w:left="142" w:right="-2"/>
        <w:jc w:val="both"/>
        <w:rPr>
          <w:rFonts w:asciiTheme="minorHAnsi" w:hAnsiTheme="minorHAnsi" w:cstheme="minorHAnsi"/>
          <w:sz w:val="22"/>
          <w:szCs w:val="22"/>
        </w:rPr>
      </w:pPr>
    </w:p>
    <w:p w14:paraId="22BD74B0" w14:textId="59324520" w:rsidR="007930A8" w:rsidRPr="00E01874" w:rsidRDefault="007930A8" w:rsidP="00E01874">
      <w:pPr>
        <w:tabs>
          <w:tab w:val="left" w:pos="720"/>
          <w:tab w:val="left" w:pos="900"/>
          <w:tab w:val="left" w:pos="1260"/>
          <w:tab w:val="left" w:pos="5580"/>
          <w:tab w:val="left" w:pos="6120"/>
        </w:tabs>
        <w:ind w:left="142" w:right="-2"/>
        <w:jc w:val="both"/>
        <w:rPr>
          <w:rFonts w:asciiTheme="minorHAnsi" w:hAnsiTheme="minorHAnsi" w:cstheme="minorHAnsi"/>
          <w:sz w:val="22"/>
          <w:szCs w:val="22"/>
        </w:rPr>
      </w:pPr>
    </w:p>
    <w:p w14:paraId="7892B783" w14:textId="2F970318" w:rsidR="007930A8" w:rsidRPr="00E01874" w:rsidRDefault="007930A8" w:rsidP="00E01874">
      <w:pPr>
        <w:tabs>
          <w:tab w:val="left" w:pos="720"/>
          <w:tab w:val="left" w:pos="900"/>
          <w:tab w:val="left" w:pos="1260"/>
          <w:tab w:val="left" w:pos="5580"/>
          <w:tab w:val="left" w:pos="6120"/>
        </w:tabs>
        <w:ind w:left="142" w:right="-2"/>
        <w:jc w:val="both"/>
        <w:rPr>
          <w:rFonts w:asciiTheme="minorHAnsi" w:hAnsiTheme="minorHAnsi" w:cstheme="minorHAnsi"/>
          <w:sz w:val="22"/>
          <w:szCs w:val="22"/>
        </w:rPr>
      </w:pPr>
    </w:p>
    <w:p w14:paraId="4F5E75C7" w14:textId="75D926C3" w:rsidR="007930A8" w:rsidRPr="00E01874" w:rsidRDefault="007930A8" w:rsidP="00E01874">
      <w:pPr>
        <w:tabs>
          <w:tab w:val="left" w:pos="720"/>
          <w:tab w:val="left" w:pos="900"/>
          <w:tab w:val="left" w:pos="1260"/>
          <w:tab w:val="left" w:pos="5580"/>
          <w:tab w:val="left" w:pos="6120"/>
        </w:tabs>
        <w:ind w:left="142" w:right="-2"/>
        <w:jc w:val="both"/>
        <w:rPr>
          <w:rFonts w:asciiTheme="minorHAnsi" w:hAnsiTheme="minorHAnsi" w:cstheme="minorHAnsi"/>
          <w:sz w:val="22"/>
          <w:szCs w:val="22"/>
        </w:rPr>
      </w:pPr>
    </w:p>
    <w:p w14:paraId="015FEBE7" w14:textId="57E9BCFB" w:rsidR="007930A8" w:rsidRPr="00E01874" w:rsidRDefault="007930A8" w:rsidP="00E01874">
      <w:pPr>
        <w:tabs>
          <w:tab w:val="left" w:pos="720"/>
          <w:tab w:val="left" w:pos="900"/>
          <w:tab w:val="left" w:pos="1260"/>
          <w:tab w:val="left" w:pos="5580"/>
          <w:tab w:val="left" w:pos="6120"/>
        </w:tabs>
        <w:ind w:left="142" w:right="-2"/>
        <w:jc w:val="both"/>
        <w:rPr>
          <w:rFonts w:asciiTheme="minorHAnsi" w:hAnsiTheme="minorHAnsi" w:cstheme="minorHAnsi"/>
          <w:sz w:val="22"/>
          <w:szCs w:val="22"/>
        </w:rPr>
      </w:pPr>
    </w:p>
    <w:p w14:paraId="3D03CEA3" w14:textId="561B2645" w:rsidR="007930A8" w:rsidRPr="00E01874" w:rsidRDefault="007930A8" w:rsidP="00E01874">
      <w:pPr>
        <w:tabs>
          <w:tab w:val="left" w:pos="720"/>
          <w:tab w:val="left" w:pos="900"/>
          <w:tab w:val="left" w:pos="1260"/>
          <w:tab w:val="left" w:pos="5580"/>
          <w:tab w:val="left" w:pos="6120"/>
        </w:tabs>
        <w:ind w:left="142" w:right="-2"/>
        <w:jc w:val="both"/>
        <w:rPr>
          <w:rFonts w:asciiTheme="minorHAnsi" w:hAnsiTheme="minorHAnsi" w:cstheme="minorHAnsi"/>
          <w:sz w:val="22"/>
          <w:szCs w:val="22"/>
        </w:rPr>
      </w:pPr>
    </w:p>
    <w:p w14:paraId="6A9803D9" w14:textId="77777777" w:rsidR="007930A8" w:rsidRPr="00E01874" w:rsidRDefault="007930A8" w:rsidP="00E01874">
      <w:pPr>
        <w:tabs>
          <w:tab w:val="left" w:pos="720"/>
          <w:tab w:val="left" w:pos="900"/>
          <w:tab w:val="left" w:pos="1260"/>
          <w:tab w:val="left" w:pos="5580"/>
          <w:tab w:val="left" w:pos="6120"/>
        </w:tabs>
        <w:ind w:left="142" w:right="-2"/>
        <w:jc w:val="both"/>
        <w:rPr>
          <w:rFonts w:asciiTheme="minorHAnsi" w:hAnsiTheme="minorHAnsi" w:cstheme="minorHAnsi"/>
          <w:sz w:val="22"/>
          <w:szCs w:val="22"/>
        </w:rPr>
      </w:pPr>
    </w:p>
    <w:p w14:paraId="7FBCA73E" w14:textId="0690F558" w:rsidR="00783E6E" w:rsidRPr="00E01874" w:rsidRDefault="00952E48" w:rsidP="00901990">
      <w:pPr>
        <w:tabs>
          <w:tab w:val="left" w:pos="720"/>
          <w:tab w:val="left" w:pos="900"/>
          <w:tab w:val="left" w:pos="1260"/>
          <w:tab w:val="left" w:pos="5580"/>
          <w:tab w:val="left" w:pos="6120"/>
        </w:tabs>
        <w:ind w:left="142" w:right="-2"/>
        <w:jc w:val="right"/>
        <w:rPr>
          <w:rFonts w:asciiTheme="minorHAnsi" w:hAnsiTheme="minorHAnsi" w:cstheme="minorHAnsi"/>
          <w:sz w:val="22"/>
          <w:szCs w:val="22"/>
        </w:rPr>
      </w:pPr>
      <w:r w:rsidRPr="00E01874">
        <w:rPr>
          <w:rFonts w:asciiTheme="minorHAnsi" w:hAnsiTheme="minorHAnsi" w:cstheme="minorHAnsi"/>
          <w:sz w:val="22"/>
          <w:szCs w:val="22"/>
        </w:rPr>
        <w:t xml:space="preserve">Pubblicato il </w:t>
      </w:r>
      <w:r w:rsidR="00572EC8" w:rsidRPr="00E01874">
        <w:rPr>
          <w:rFonts w:asciiTheme="minorHAnsi" w:hAnsiTheme="minorHAnsi" w:cstheme="minorHAnsi"/>
          <w:sz w:val="22"/>
          <w:szCs w:val="22"/>
        </w:rPr>
        <w:t>1</w:t>
      </w:r>
      <w:r w:rsidR="00E82CB1">
        <w:rPr>
          <w:rFonts w:asciiTheme="minorHAnsi" w:hAnsiTheme="minorHAnsi" w:cstheme="minorHAnsi"/>
          <w:sz w:val="22"/>
          <w:szCs w:val="22"/>
        </w:rPr>
        <w:t>8</w:t>
      </w:r>
      <w:r w:rsidR="00FD4966" w:rsidRPr="00E01874">
        <w:rPr>
          <w:rFonts w:asciiTheme="minorHAnsi" w:hAnsiTheme="minorHAnsi" w:cstheme="minorHAnsi"/>
          <w:sz w:val="22"/>
          <w:szCs w:val="22"/>
        </w:rPr>
        <w:t>/08</w:t>
      </w:r>
      <w:r w:rsidR="00297F87" w:rsidRPr="00E01874">
        <w:rPr>
          <w:rFonts w:asciiTheme="minorHAnsi" w:hAnsiTheme="minorHAnsi" w:cstheme="minorHAnsi"/>
          <w:sz w:val="22"/>
          <w:szCs w:val="22"/>
        </w:rPr>
        <w:t>/2020</w:t>
      </w:r>
    </w:p>
    <w:sectPr w:rsidR="00783E6E" w:rsidRPr="00E01874" w:rsidSect="004E62C8">
      <w:headerReference w:type="first" r:id="rId9"/>
      <w:footerReference w:type="first" r:id="rId10"/>
      <w:type w:val="continuous"/>
      <w:pgSz w:w="11906" w:h="16838" w:code="9"/>
      <w:pgMar w:top="993" w:right="1134" w:bottom="899" w:left="1985" w:header="1080" w:footer="381"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26EC07" w14:textId="77777777" w:rsidR="00523E77" w:rsidRDefault="00523E77">
      <w:r>
        <w:separator/>
      </w:r>
    </w:p>
  </w:endnote>
  <w:endnote w:type="continuationSeparator" w:id="0">
    <w:p w14:paraId="53EE6F0B" w14:textId="77777777" w:rsidR="00523E77" w:rsidRDefault="00523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Futura LT Book">
    <w:panose1 w:val="02000504030000020003"/>
    <w:charset w:val="00"/>
    <w:family w:val="auto"/>
    <w:pitch w:val="variable"/>
    <w:sig w:usb0="00000003" w:usb1="00000000" w:usb2="00000000" w:usb3="00000000" w:csb0="00000001" w:csb1="00000000"/>
  </w:font>
  <w:font w:name="Futura LT Light">
    <w:panose1 w:val="02000504030000020003"/>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4F788" w14:textId="77777777" w:rsidR="00151BDD" w:rsidRPr="004C2CC8" w:rsidRDefault="00BC4801" w:rsidP="00474ADE">
    <w:pPr>
      <w:tabs>
        <w:tab w:val="left" w:pos="900"/>
        <w:tab w:val="left" w:pos="1260"/>
        <w:tab w:val="left" w:pos="1620"/>
      </w:tabs>
      <w:rPr>
        <w:rFonts w:ascii="Futura LT Book" w:hAnsi="Futura LT Book"/>
        <w:b/>
        <w:color w:val="205394"/>
        <w:sz w:val="16"/>
        <w:szCs w:val="16"/>
      </w:rPr>
    </w:pPr>
    <w:r>
      <w:rPr>
        <w:rFonts w:ascii="Futura LT Book" w:hAnsi="Futura LT Book"/>
        <w:b/>
        <w:color w:val="205394"/>
        <w:sz w:val="16"/>
        <w:szCs w:val="16"/>
      </w:rPr>
      <w:t>Confindustria Umbria</w:t>
    </w:r>
  </w:p>
  <w:p w14:paraId="3908D6ED" w14:textId="77777777" w:rsidR="00151BDD" w:rsidRPr="004C2CC8" w:rsidRDefault="00BC4801" w:rsidP="00474ADE">
    <w:pPr>
      <w:tabs>
        <w:tab w:val="left" w:pos="900"/>
        <w:tab w:val="left" w:pos="1260"/>
        <w:tab w:val="left" w:pos="1620"/>
      </w:tabs>
      <w:rPr>
        <w:rFonts w:ascii="Futura LT Book" w:hAnsi="Futura LT Book"/>
        <w:color w:val="205394"/>
        <w:sz w:val="16"/>
        <w:szCs w:val="16"/>
      </w:rPr>
    </w:pPr>
    <w:r w:rsidRPr="004C2CC8">
      <w:rPr>
        <w:rFonts w:ascii="Futura LT Book" w:hAnsi="Futura LT Book"/>
        <w:color w:val="205394"/>
        <w:sz w:val="16"/>
        <w:szCs w:val="16"/>
      </w:rPr>
      <w:t xml:space="preserve">Via Palermo, 80/A </w:t>
    </w:r>
    <w:r w:rsidR="00151BDD" w:rsidRPr="004C2CC8">
      <w:rPr>
        <w:rFonts w:ascii="Futura LT Book" w:hAnsi="Futura LT Book"/>
        <w:color w:val="205394"/>
        <w:sz w:val="16"/>
        <w:szCs w:val="16"/>
      </w:rPr>
      <w:t>0612</w:t>
    </w:r>
    <w:r w:rsidR="001E720B" w:rsidRPr="004C2CC8">
      <w:rPr>
        <w:rFonts w:ascii="Futura LT Book" w:hAnsi="Futura LT Book"/>
        <w:color w:val="205394"/>
        <w:sz w:val="16"/>
        <w:szCs w:val="16"/>
      </w:rPr>
      <w:t>4</w:t>
    </w:r>
    <w:r w:rsidR="00151BDD" w:rsidRPr="004C2CC8">
      <w:rPr>
        <w:rFonts w:ascii="Futura LT Book" w:hAnsi="Futura LT Book"/>
        <w:color w:val="205394"/>
        <w:sz w:val="16"/>
        <w:szCs w:val="16"/>
      </w:rPr>
      <w:t xml:space="preserve"> Perugia </w:t>
    </w:r>
  </w:p>
  <w:p w14:paraId="232A169E" w14:textId="77777777" w:rsidR="00151BDD" w:rsidRPr="004C2CC8" w:rsidRDefault="00151BDD" w:rsidP="00474ADE">
    <w:pPr>
      <w:tabs>
        <w:tab w:val="left" w:pos="900"/>
        <w:tab w:val="left" w:pos="1260"/>
        <w:tab w:val="left" w:pos="1620"/>
      </w:tabs>
      <w:rPr>
        <w:rFonts w:ascii="Futura LT Book" w:hAnsi="Futura LT Book"/>
        <w:color w:val="205394"/>
        <w:sz w:val="16"/>
        <w:szCs w:val="16"/>
      </w:rPr>
    </w:pPr>
    <w:r w:rsidRPr="004C2CC8">
      <w:rPr>
        <w:rFonts w:ascii="Futura LT Book" w:hAnsi="Futura LT Book"/>
        <w:color w:val="205394"/>
        <w:sz w:val="16"/>
        <w:szCs w:val="16"/>
      </w:rPr>
      <w:t>Telefono 075 582</w:t>
    </w:r>
    <w:r w:rsidR="00CB1898" w:rsidRPr="004C2CC8">
      <w:rPr>
        <w:rFonts w:ascii="Futura LT Book" w:hAnsi="Futura LT Book"/>
        <w:color w:val="205394"/>
        <w:sz w:val="16"/>
        <w:szCs w:val="16"/>
      </w:rPr>
      <w:t>01</w:t>
    </w:r>
    <w:r w:rsidRPr="004C2CC8">
      <w:rPr>
        <w:rFonts w:ascii="Futura LT Book" w:hAnsi="Futura LT Book"/>
        <w:color w:val="205394"/>
        <w:sz w:val="16"/>
        <w:szCs w:val="16"/>
      </w:rPr>
      <w:t xml:space="preserve"> – Fax 075 </w:t>
    </w:r>
    <w:r w:rsidR="00CB1898" w:rsidRPr="004C2CC8">
      <w:rPr>
        <w:rFonts w:ascii="Futura LT Book" w:hAnsi="Futura LT Book"/>
        <w:color w:val="205394"/>
        <w:sz w:val="16"/>
        <w:szCs w:val="16"/>
      </w:rPr>
      <w:t>32160</w:t>
    </w:r>
  </w:p>
  <w:p w14:paraId="20B2810B" w14:textId="77777777" w:rsidR="00151BDD" w:rsidRPr="004C2CC8" w:rsidRDefault="00952E48" w:rsidP="00474ADE">
    <w:pPr>
      <w:tabs>
        <w:tab w:val="left" w:pos="900"/>
        <w:tab w:val="left" w:pos="1260"/>
        <w:tab w:val="left" w:pos="1620"/>
      </w:tabs>
      <w:rPr>
        <w:rFonts w:ascii="Futura LT Book" w:hAnsi="Futura LT Book"/>
        <w:color w:val="205394"/>
        <w:sz w:val="16"/>
        <w:szCs w:val="16"/>
      </w:rPr>
    </w:pPr>
    <w:r>
      <w:rPr>
        <w:rFonts w:ascii="Futura LT Book" w:hAnsi="Futura LT Book"/>
        <w:color w:val="205394"/>
        <w:sz w:val="16"/>
        <w:szCs w:val="16"/>
      </w:rPr>
      <w:t>notiziario</w:t>
    </w:r>
    <w:r w:rsidR="00151BDD" w:rsidRPr="004C2CC8">
      <w:rPr>
        <w:rFonts w:ascii="Futura LT Book" w:hAnsi="Futura LT Book"/>
        <w:color w:val="205394"/>
        <w:sz w:val="16"/>
        <w:szCs w:val="16"/>
      </w:rPr>
      <w:t>@confindustria.umbria.it   www.confindustria.umbria.it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3B0DB0" w14:textId="77777777" w:rsidR="00523E77" w:rsidRDefault="00523E77">
      <w:r>
        <w:separator/>
      </w:r>
    </w:p>
  </w:footnote>
  <w:footnote w:type="continuationSeparator" w:id="0">
    <w:p w14:paraId="06E28FFB" w14:textId="77777777" w:rsidR="00523E77" w:rsidRDefault="00523E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2578" w:type="dxa"/>
      <w:tblInd w:w="-792" w:type="dxa"/>
      <w:tblLayout w:type="fixed"/>
      <w:tblLook w:val="01E0" w:firstRow="1" w:lastRow="1" w:firstColumn="1" w:lastColumn="1" w:noHBand="0" w:noVBand="0"/>
    </w:tblPr>
    <w:tblGrid>
      <w:gridCol w:w="900"/>
      <w:gridCol w:w="5421"/>
      <w:gridCol w:w="1653"/>
      <w:gridCol w:w="4604"/>
    </w:tblGrid>
    <w:tr w:rsidR="001867E9" w14:paraId="1C413A52" w14:textId="77777777" w:rsidTr="00952E48">
      <w:tc>
        <w:tcPr>
          <w:tcW w:w="900" w:type="dxa"/>
        </w:tcPr>
        <w:p w14:paraId="13A69F8E" w14:textId="454F29AC" w:rsidR="001867E9" w:rsidRDefault="00404DD3">
          <w:pPr>
            <w:tabs>
              <w:tab w:val="left" w:pos="720"/>
              <w:tab w:val="left" w:pos="900"/>
              <w:tab w:val="left" w:pos="1260"/>
              <w:tab w:val="left" w:pos="1980"/>
            </w:tabs>
          </w:pPr>
          <w:r>
            <w:rPr>
              <w:noProof/>
              <w:color w:val="205394"/>
            </w:rPr>
            <w:drawing>
              <wp:inline distT="0" distB="0" distL="0" distR="0" wp14:anchorId="6656F282" wp14:editId="573C7486">
                <wp:extent cx="514350" cy="495300"/>
                <wp:effectExtent l="0" t="0" r="0" b="0"/>
                <wp:docPr id="1" name="Immagine 3" descr="acqu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acquil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495300"/>
                        </a:xfrm>
                        <a:prstGeom prst="rect">
                          <a:avLst/>
                        </a:prstGeom>
                        <a:noFill/>
                        <a:ln>
                          <a:noFill/>
                        </a:ln>
                      </pic:spPr>
                    </pic:pic>
                  </a:graphicData>
                </a:graphic>
              </wp:inline>
            </w:drawing>
          </w:r>
        </w:p>
      </w:tc>
      <w:tc>
        <w:tcPr>
          <w:tcW w:w="5421" w:type="dxa"/>
          <w:vAlign w:val="bottom"/>
        </w:tcPr>
        <w:p w14:paraId="7A43C720" w14:textId="77777777" w:rsidR="001867E9" w:rsidRPr="00895D5A" w:rsidRDefault="001867E9">
          <w:pPr>
            <w:tabs>
              <w:tab w:val="left" w:pos="720"/>
              <w:tab w:val="left" w:pos="900"/>
              <w:tab w:val="left" w:pos="1260"/>
              <w:tab w:val="left" w:pos="1980"/>
            </w:tabs>
            <w:ind w:left="-108"/>
            <w:rPr>
              <w:rFonts w:ascii="Futura LT Book" w:hAnsi="Futura LT Book"/>
              <w:color w:val="205394"/>
              <w:sz w:val="20"/>
              <w:szCs w:val="20"/>
            </w:rPr>
          </w:pPr>
          <w:r w:rsidRPr="00895D5A">
            <w:rPr>
              <w:rFonts w:ascii="Futura LT Book" w:hAnsi="Futura LT Book"/>
              <w:color w:val="205394"/>
              <w:sz w:val="20"/>
              <w:szCs w:val="20"/>
            </w:rPr>
            <w:t>CONFINDUSTRIA</w:t>
          </w:r>
          <w:r w:rsidR="00CB1898" w:rsidRPr="00895D5A">
            <w:rPr>
              <w:rFonts w:ascii="Futura LT Book" w:hAnsi="Futura LT Book"/>
              <w:color w:val="205394"/>
              <w:sz w:val="20"/>
              <w:szCs w:val="20"/>
            </w:rPr>
            <w:t xml:space="preserve"> UMBRIA</w:t>
          </w:r>
          <w:r w:rsidR="00952E48">
            <w:rPr>
              <w:rFonts w:ascii="Futura LT Book" w:hAnsi="Futura LT Book"/>
              <w:color w:val="205394"/>
              <w:sz w:val="20"/>
              <w:szCs w:val="20"/>
            </w:rPr>
            <w:t xml:space="preserve"> </w:t>
          </w:r>
          <w:r w:rsidR="00952E48" w:rsidRPr="00952E48">
            <w:rPr>
              <w:rFonts w:ascii="Futura LT Book" w:hAnsi="Futura LT Book"/>
              <w:color w:val="205394"/>
              <w:sz w:val="20"/>
              <w:szCs w:val="20"/>
            </w:rPr>
            <w:t>NEWS</w:t>
          </w:r>
          <w:r w:rsidR="00952E48">
            <w:rPr>
              <w:rFonts w:ascii="Futura LT Book" w:hAnsi="Futura LT Book"/>
              <w:color w:val="205394"/>
              <w:sz w:val="20"/>
              <w:szCs w:val="20"/>
            </w:rPr>
            <w:t xml:space="preserve"> </w:t>
          </w:r>
        </w:p>
      </w:tc>
      <w:tc>
        <w:tcPr>
          <w:tcW w:w="1653" w:type="dxa"/>
          <w:vAlign w:val="bottom"/>
        </w:tcPr>
        <w:p w14:paraId="153B0DD7" w14:textId="77777777" w:rsidR="001867E9" w:rsidRDefault="001867E9">
          <w:pPr>
            <w:tabs>
              <w:tab w:val="left" w:pos="720"/>
              <w:tab w:val="left" w:pos="900"/>
              <w:tab w:val="left" w:pos="1260"/>
              <w:tab w:val="left" w:pos="1980"/>
            </w:tabs>
          </w:pPr>
        </w:p>
      </w:tc>
      <w:tc>
        <w:tcPr>
          <w:tcW w:w="4604" w:type="dxa"/>
          <w:vAlign w:val="bottom"/>
        </w:tcPr>
        <w:p w14:paraId="158EA449" w14:textId="77777777" w:rsidR="001867E9" w:rsidRDefault="001867E9">
          <w:pPr>
            <w:rPr>
              <w:rFonts w:ascii="Futura LT Light" w:hAnsi="Futura LT Light"/>
              <w:color w:val="00247E"/>
              <w:sz w:val="20"/>
              <w:szCs w:val="20"/>
            </w:rPr>
          </w:pPr>
        </w:p>
      </w:tc>
    </w:tr>
    <w:tr w:rsidR="001867E9" w14:paraId="7D902A2D" w14:textId="77777777" w:rsidTr="00952E48">
      <w:tc>
        <w:tcPr>
          <w:tcW w:w="900" w:type="dxa"/>
        </w:tcPr>
        <w:p w14:paraId="0D671F4E" w14:textId="77777777" w:rsidR="001867E9" w:rsidRDefault="001867E9">
          <w:pPr>
            <w:tabs>
              <w:tab w:val="left" w:pos="720"/>
              <w:tab w:val="left" w:pos="900"/>
              <w:tab w:val="left" w:pos="1260"/>
              <w:tab w:val="left" w:pos="1980"/>
            </w:tabs>
          </w:pPr>
        </w:p>
      </w:tc>
      <w:tc>
        <w:tcPr>
          <w:tcW w:w="5421" w:type="dxa"/>
        </w:tcPr>
        <w:p w14:paraId="482899B3" w14:textId="77777777" w:rsidR="001867E9" w:rsidRDefault="001867E9">
          <w:pPr>
            <w:tabs>
              <w:tab w:val="left" w:pos="720"/>
              <w:tab w:val="left" w:pos="900"/>
              <w:tab w:val="left" w:pos="1260"/>
              <w:tab w:val="left" w:pos="1980"/>
            </w:tabs>
            <w:ind w:left="-108"/>
            <w:rPr>
              <w:rFonts w:ascii="Futura LT Book" w:hAnsi="Futura LT Book"/>
              <w:sz w:val="20"/>
            </w:rPr>
          </w:pPr>
        </w:p>
      </w:tc>
      <w:tc>
        <w:tcPr>
          <w:tcW w:w="1653" w:type="dxa"/>
        </w:tcPr>
        <w:p w14:paraId="589D41DD" w14:textId="77777777" w:rsidR="001867E9" w:rsidRDefault="001867E9">
          <w:pPr>
            <w:tabs>
              <w:tab w:val="left" w:pos="720"/>
              <w:tab w:val="left" w:pos="900"/>
              <w:tab w:val="left" w:pos="1260"/>
              <w:tab w:val="left" w:pos="1980"/>
            </w:tabs>
          </w:pPr>
        </w:p>
      </w:tc>
      <w:tc>
        <w:tcPr>
          <w:tcW w:w="4604" w:type="dxa"/>
        </w:tcPr>
        <w:p w14:paraId="23F4B353" w14:textId="77777777" w:rsidR="001867E9" w:rsidRDefault="001867E9">
          <w:pPr>
            <w:tabs>
              <w:tab w:val="left" w:pos="720"/>
              <w:tab w:val="left" w:pos="900"/>
              <w:tab w:val="left" w:pos="1260"/>
              <w:tab w:val="left" w:pos="1980"/>
            </w:tabs>
          </w:pPr>
        </w:p>
      </w:tc>
    </w:tr>
  </w:tbl>
  <w:p w14:paraId="1EAEF4F0" w14:textId="77777777" w:rsidR="001867E9" w:rsidRDefault="001867E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C05D1"/>
    <w:multiLevelType w:val="hybridMultilevel"/>
    <w:tmpl w:val="A0D45D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6D87FDA"/>
    <w:multiLevelType w:val="multilevel"/>
    <w:tmpl w:val="50622D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4F37CA"/>
    <w:multiLevelType w:val="hybridMultilevel"/>
    <w:tmpl w:val="ACA47E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DCA05A1"/>
    <w:multiLevelType w:val="multilevel"/>
    <w:tmpl w:val="47ECB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8C3BC2"/>
    <w:multiLevelType w:val="hybridMultilevel"/>
    <w:tmpl w:val="3D44CA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9204801"/>
    <w:multiLevelType w:val="hybridMultilevel"/>
    <w:tmpl w:val="FF30925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50A63FF"/>
    <w:multiLevelType w:val="hybridMultilevel"/>
    <w:tmpl w:val="4FDC35E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9F16C87"/>
    <w:multiLevelType w:val="hybridMultilevel"/>
    <w:tmpl w:val="8F5A164A"/>
    <w:lvl w:ilvl="0" w:tplc="52922C2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F49768B"/>
    <w:multiLevelType w:val="hybridMultilevel"/>
    <w:tmpl w:val="2410CC46"/>
    <w:styleLink w:val="Puntielenco"/>
    <w:lvl w:ilvl="0" w:tplc="4860FC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1E2C70E">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C1A55E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EFAB04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5295D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9C116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9BCFE5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6EEB8D4">
      <w:start w:val="1"/>
      <w:numFmt w:val="bullet"/>
      <w:lvlText w:val="•"/>
      <w:lvlJc w:val="left"/>
      <w:pPr>
        <w:tabs>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ind w:left="4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F2870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603653BB"/>
    <w:multiLevelType w:val="multilevel"/>
    <w:tmpl w:val="D3C48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A60AC7"/>
    <w:multiLevelType w:val="multilevel"/>
    <w:tmpl w:val="6B32B6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6071C2"/>
    <w:multiLevelType w:val="hybridMultilevel"/>
    <w:tmpl w:val="EACAEEE8"/>
    <w:lvl w:ilvl="0" w:tplc="430EF036">
      <w:start w:val="1"/>
      <w:numFmt w:val="bullet"/>
      <w:lvlText w:val="—"/>
      <w:lvlJc w:val="left"/>
      <w:pPr>
        <w:ind w:left="644" w:hanging="360"/>
      </w:pPr>
      <w:rPr>
        <w:rFonts w:ascii="MS Mincho" w:eastAsia="MS Mincho" w:hAnsi="MS Mincho" w:cs="Times New Roman" w:hint="eastAsia"/>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2" w15:restartNumberingAfterBreak="0">
    <w:nsid w:val="7837219F"/>
    <w:multiLevelType w:val="hybridMultilevel"/>
    <w:tmpl w:val="146E4008"/>
    <w:lvl w:ilvl="0" w:tplc="0410000F">
      <w:start w:val="1"/>
      <w:numFmt w:val="decimal"/>
      <w:lvlText w:val="%1."/>
      <w:lvlJc w:val="left"/>
      <w:pPr>
        <w:ind w:left="1515" w:hanging="360"/>
      </w:pPr>
    </w:lvl>
    <w:lvl w:ilvl="1" w:tplc="04100019" w:tentative="1">
      <w:start w:val="1"/>
      <w:numFmt w:val="lowerLetter"/>
      <w:lvlText w:val="%2."/>
      <w:lvlJc w:val="left"/>
      <w:pPr>
        <w:ind w:left="2235" w:hanging="360"/>
      </w:pPr>
    </w:lvl>
    <w:lvl w:ilvl="2" w:tplc="0410001B" w:tentative="1">
      <w:start w:val="1"/>
      <w:numFmt w:val="lowerRoman"/>
      <w:lvlText w:val="%3."/>
      <w:lvlJc w:val="right"/>
      <w:pPr>
        <w:ind w:left="2955" w:hanging="180"/>
      </w:pPr>
    </w:lvl>
    <w:lvl w:ilvl="3" w:tplc="0410000F" w:tentative="1">
      <w:start w:val="1"/>
      <w:numFmt w:val="decimal"/>
      <w:lvlText w:val="%4."/>
      <w:lvlJc w:val="left"/>
      <w:pPr>
        <w:ind w:left="3675" w:hanging="360"/>
      </w:pPr>
    </w:lvl>
    <w:lvl w:ilvl="4" w:tplc="04100019" w:tentative="1">
      <w:start w:val="1"/>
      <w:numFmt w:val="lowerLetter"/>
      <w:lvlText w:val="%5."/>
      <w:lvlJc w:val="left"/>
      <w:pPr>
        <w:ind w:left="4395" w:hanging="360"/>
      </w:pPr>
    </w:lvl>
    <w:lvl w:ilvl="5" w:tplc="0410001B" w:tentative="1">
      <w:start w:val="1"/>
      <w:numFmt w:val="lowerRoman"/>
      <w:lvlText w:val="%6."/>
      <w:lvlJc w:val="right"/>
      <w:pPr>
        <w:ind w:left="5115" w:hanging="180"/>
      </w:pPr>
    </w:lvl>
    <w:lvl w:ilvl="6" w:tplc="0410000F" w:tentative="1">
      <w:start w:val="1"/>
      <w:numFmt w:val="decimal"/>
      <w:lvlText w:val="%7."/>
      <w:lvlJc w:val="left"/>
      <w:pPr>
        <w:ind w:left="5835" w:hanging="360"/>
      </w:pPr>
    </w:lvl>
    <w:lvl w:ilvl="7" w:tplc="04100019" w:tentative="1">
      <w:start w:val="1"/>
      <w:numFmt w:val="lowerLetter"/>
      <w:lvlText w:val="%8."/>
      <w:lvlJc w:val="left"/>
      <w:pPr>
        <w:ind w:left="6555" w:hanging="360"/>
      </w:pPr>
    </w:lvl>
    <w:lvl w:ilvl="8" w:tplc="0410001B" w:tentative="1">
      <w:start w:val="1"/>
      <w:numFmt w:val="lowerRoman"/>
      <w:lvlText w:val="%9."/>
      <w:lvlJc w:val="right"/>
      <w:pPr>
        <w:ind w:left="7275" w:hanging="180"/>
      </w:pPr>
    </w:lvl>
  </w:abstractNum>
  <w:abstractNum w:abstractNumId="13" w15:restartNumberingAfterBreak="0">
    <w:nsid w:val="793D75C0"/>
    <w:multiLevelType w:val="hybridMultilevel"/>
    <w:tmpl w:val="E362D9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AD93450"/>
    <w:multiLevelType w:val="multilevel"/>
    <w:tmpl w:val="3D30DFF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972E2F"/>
    <w:multiLevelType w:val="hybridMultilevel"/>
    <w:tmpl w:val="0EF06C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4"/>
  </w:num>
  <w:num w:numId="4">
    <w:abstractNumId w:val="13"/>
  </w:num>
  <w:num w:numId="5">
    <w:abstractNumId w:val="12"/>
  </w:num>
  <w:num w:numId="6">
    <w:abstractNumId w:val="0"/>
  </w:num>
  <w:num w:numId="7">
    <w:abstractNumId w:val="15"/>
  </w:num>
  <w:num w:numId="8">
    <w:abstractNumId w:val="7"/>
  </w:num>
  <w:num w:numId="9">
    <w:abstractNumId w:val="10"/>
  </w:num>
  <w:num w:numId="10">
    <w:abstractNumId w:val="14"/>
  </w:num>
  <w:num w:numId="11">
    <w:abstractNumId w:val="9"/>
  </w:num>
  <w:num w:numId="12">
    <w:abstractNumId w:val="1"/>
  </w:num>
  <w:num w:numId="13">
    <w:abstractNumId w:val="2"/>
  </w:num>
  <w:num w:numId="14">
    <w:abstractNumId w:val="11"/>
  </w:num>
  <w:num w:numId="15">
    <w:abstractNumId w:val="5"/>
  </w:num>
  <w:num w:numId="16">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283"/>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418"/>
    <w:rsid w:val="000013D4"/>
    <w:rsid w:val="000018C4"/>
    <w:rsid w:val="00002340"/>
    <w:rsid w:val="00012716"/>
    <w:rsid w:val="000143BB"/>
    <w:rsid w:val="00014CFE"/>
    <w:rsid w:val="00016196"/>
    <w:rsid w:val="00030A72"/>
    <w:rsid w:val="000369D4"/>
    <w:rsid w:val="00037418"/>
    <w:rsid w:val="00040CFB"/>
    <w:rsid w:val="0004674A"/>
    <w:rsid w:val="00052071"/>
    <w:rsid w:val="000539CB"/>
    <w:rsid w:val="00053A2C"/>
    <w:rsid w:val="000614F9"/>
    <w:rsid w:val="000625BE"/>
    <w:rsid w:val="000637F2"/>
    <w:rsid w:val="000703BF"/>
    <w:rsid w:val="000742BE"/>
    <w:rsid w:val="00080ADD"/>
    <w:rsid w:val="00087150"/>
    <w:rsid w:val="0009085F"/>
    <w:rsid w:val="000B06C6"/>
    <w:rsid w:val="000B2103"/>
    <w:rsid w:val="000C53BB"/>
    <w:rsid w:val="000D0123"/>
    <w:rsid w:val="000D36C6"/>
    <w:rsid w:val="000D45D8"/>
    <w:rsid w:val="000D4668"/>
    <w:rsid w:val="000D4ADA"/>
    <w:rsid w:val="000E38C9"/>
    <w:rsid w:val="000E5710"/>
    <w:rsid w:val="000E6DB1"/>
    <w:rsid w:val="0010566D"/>
    <w:rsid w:val="00126D4F"/>
    <w:rsid w:val="001311CA"/>
    <w:rsid w:val="00134010"/>
    <w:rsid w:val="0013536D"/>
    <w:rsid w:val="00136808"/>
    <w:rsid w:val="00151B1D"/>
    <w:rsid w:val="00151BDD"/>
    <w:rsid w:val="00160F19"/>
    <w:rsid w:val="001674E2"/>
    <w:rsid w:val="00172666"/>
    <w:rsid w:val="00177173"/>
    <w:rsid w:val="00181F9E"/>
    <w:rsid w:val="001867E9"/>
    <w:rsid w:val="00197786"/>
    <w:rsid w:val="001A0EA6"/>
    <w:rsid w:val="001A61DB"/>
    <w:rsid w:val="001B0373"/>
    <w:rsid w:val="001B1366"/>
    <w:rsid w:val="001B68B7"/>
    <w:rsid w:val="001C016B"/>
    <w:rsid w:val="001C5C73"/>
    <w:rsid w:val="001D46AD"/>
    <w:rsid w:val="001D783D"/>
    <w:rsid w:val="001D7F3D"/>
    <w:rsid w:val="001E0909"/>
    <w:rsid w:val="001E1A02"/>
    <w:rsid w:val="001E720B"/>
    <w:rsid w:val="001F202A"/>
    <w:rsid w:val="001F48AB"/>
    <w:rsid w:val="001F4BA5"/>
    <w:rsid w:val="0020292B"/>
    <w:rsid w:val="00206722"/>
    <w:rsid w:val="00206AEC"/>
    <w:rsid w:val="00210ED4"/>
    <w:rsid w:val="002113BA"/>
    <w:rsid w:val="002166C4"/>
    <w:rsid w:val="0022540F"/>
    <w:rsid w:val="00230989"/>
    <w:rsid w:val="00237B46"/>
    <w:rsid w:val="00241A95"/>
    <w:rsid w:val="00242295"/>
    <w:rsid w:val="00254095"/>
    <w:rsid w:val="002650B4"/>
    <w:rsid w:val="002655A5"/>
    <w:rsid w:val="00265FD1"/>
    <w:rsid w:val="00267F8E"/>
    <w:rsid w:val="0027190F"/>
    <w:rsid w:val="0027421E"/>
    <w:rsid w:val="002743DA"/>
    <w:rsid w:val="00293463"/>
    <w:rsid w:val="002959ED"/>
    <w:rsid w:val="00297F87"/>
    <w:rsid w:val="002A6DFD"/>
    <w:rsid w:val="002B3446"/>
    <w:rsid w:val="002B5E47"/>
    <w:rsid w:val="002B7EEB"/>
    <w:rsid w:val="002D246E"/>
    <w:rsid w:val="002D2B28"/>
    <w:rsid w:val="002E4047"/>
    <w:rsid w:val="002F44A9"/>
    <w:rsid w:val="00300CDB"/>
    <w:rsid w:val="00306EA7"/>
    <w:rsid w:val="003114C4"/>
    <w:rsid w:val="00315031"/>
    <w:rsid w:val="00322EE8"/>
    <w:rsid w:val="00326815"/>
    <w:rsid w:val="003347DC"/>
    <w:rsid w:val="0034265F"/>
    <w:rsid w:val="00363BF8"/>
    <w:rsid w:val="003646F3"/>
    <w:rsid w:val="00371573"/>
    <w:rsid w:val="00385BAE"/>
    <w:rsid w:val="003944BF"/>
    <w:rsid w:val="00395392"/>
    <w:rsid w:val="003A759E"/>
    <w:rsid w:val="003B0B57"/>
    <w:rsid w:val="003B6D95"/>
    <w:rsid w:val="003B7ED2"/>
    <w:rsid w:val="003C19FB"/>
    <w:rsid w:val="003C6682"/>
    <w:rsid w:val="003E5874"/>
    <w:rsid w:val="003F1228"/>
    <w:rsid w:val="00404DD3"/>
    <w:rsid w:val="0041047E"/>
    <w:rsid w:val="0041177C"/>
    <w:rsid w:val="0042052A"/>
    <w:rsid w:val="004353E3"/>
    <w:rsid w:val="004435C3"/>
    <w:rsid w:val="00454209"/>
    <w:rsid w:val="00462395"/>
    <w:rsid w:val="00465747"/>
    <w:rsid w:val="00472D2B"/>
    <w:rsid w:val="00474ADE"/>
    <w:rsid w:val="0047686E"/>
    <w:rsid w:val="00483E55"/>
    <w:rsid w:val="004A43B9"/>
    <w:rsid w:val="004A5095"/>
    <w:rsid w:val="004B0EF1"/>
    <w:rsid w:val="004B5C7B"/>
    <w:rsid w:val="004B691C"/>
    <w:rsid w:val="004C1CE6"/>
    <w:rsid w:val="004C2CC8"/>
    <w:rsid w:val="004C6703"/>
    <w:rsid w:val="004D48E8"/>
    <w:rsid w:val="004D4957"/>
    <w:rsid w:val="004E0C94"/>
    <w:rsid w:val="004E3922"/>
    <w:rsid w:val="004E62C8"/>
    <w:rsid w:val="004F2D22"/>
    <w:rsid w:val="00517FCD"/>
    <w:rsid w:val="00520F32"/>
    <w:rsid w:val="00523E77"/>
    <w:rsid w:val="005276B5"/>
    <w:rsid w:val="0053112D"/>
    <w:rsid w:val="00531CA4"/>
    <w:rsid w:val="00532542"/>
    <w:rsid w:val="00534E4E"/>
    <w:rsid w:val="00546306"/>
    <w:rsid w:val="005615FE"/>
    <w:rsid w:val="00565BA4"/>
    <w:rsid w:val="00570DF9"/>
    <w:rsid w:val="00571AA5"/>
    <w:rsid w:val="00572355"/>
    <w:rsid w:val="00572EC8"/>
    <w:rsid w:val="00580D22"/>
    <w:rsid w:val="00583231"/>
    <w:rsid w:val="00585124"/>
    <w:rsid w:val="00585847"/>
    <w:rsid w:val="005952A0"/>
    <w:rsid w:val="005A2FBD"/>
    <w:rsid w:val="005A6420"/>
    <w:rsid w:val="005A68AC"/>
    <w:rsid w:val="005B0270"/>
    <w:rsid w:val="005B68CD"/>
    <w:rsid w:val="005C488C"/>
    <w:rsid w:val="005D26BF"/>
    <w:rsid w:val="005D2783"/>
    <w:rsid w:val="005E05F4"/>
    <w:rsid w:val="005E29D1"/>
    <w:rsid w:val="005E2A6A"/>
    <w:rsid w:val="005E5E6F"/>
    <w:rsid w:val="005E694F"/>
    <w:rsid w:val="005F136F"/>
    <w:rsid w:val="00600B26"/>
    <w:rsid w:val="00606C5A"/>
    <w:rsid w:val="0061389C"/>
    <w:rsid w:val="00617528"/>
    <w:rsid w:val="00625F3C"/>
    <w:rsid w:val="00633A04"/>
    <w:rsid w:val="00634F54"/>
    <w:rsid w:val="006370DF"/>
    <w:rsid w:val="006411A6"/>
    <w:rsid w:val="006411DF"/>
    <w:rsid w:val="00646791"/>
    <w:rsid w:val="00654840"/>
    <w:rsid w:val="00673C44"/>
    <w:rsid w:val="00684F34"/>
    <w:rsid w:val="00686CD4"/>
    <w:rsid w:val="0069445C"/>
    <w:rsid w:val="00696623"/>
    <w:rsid w:val="006A03F2"/>
    <w:rsid w:val="006A2CD6"/>
    <w:rsid w:val="006C0F54"/>
    <w:rsid w:val="006C26BE"/>
    <w:rsid w:val="006C4649"/>
    <w:rsid w:val="006C5530"/>
    <w:rsid w:val="006C6827"/>
    <w:rsid w:val="006D187D"/>
    <w:rsid w:val="006E4E22"/>
    <w:rsid w:val="006E64CC"/>
    <w:rsid w:val="006E71D6"/>
    <w:rsid w:val="006F3D2C"/>
    <w:rsid w:val="006F4A89"/>
    <w:rsid w:val="007006D5"/>
    <w:rsid w:val="00706997"/>
    <w:rsid w:val="00710780"/>
    <w:rsid w:val="007120A3"/>
    <w:rsid w:val="007212D6"/>
    <w:rsid w:val="00721719"/>
    <w:rsid w:val="007268E0"/>
    <w:rsid w:val="007278BF"/>
    <w:rsid w:val="00727E86"/>
    <w:rsid w:val="00730857"/>
    <w:rsid w:val="007336E8"/>
    <w:rsid w:val="00744DE8"/>
    <w:rsid w:val="00745E91"/>
    <w:rsid w:val="00754C9D"/>
    <w:rsid w:val="0075722D"/>
    <w:rsid w:val="00761C9E"/>
    <w:rsid w:val="00764518"/>
    <w:rsid w:val="00775FF9"/>
    <w:rsid w:val="00783E6E"/>
    <w:rsid w:val="007872ED"/>
    <w:rsid w:val="007900D5"/>
    <w:rsid w:val="007911A1"/>
    <w:rsid w:val="00792D99"/>
    <w:rsid w:val="007930A8"/>
    <w:rsid w:val="00793849"/>
    <w:rsid w:val="00796CE5"/>
    <w:rsid w:val="007A106A"/>
    <w:rsid w:val="007A4BC4"/>
    <w:rsid w:val="007B0324"/>
    <w:rsid w:val="007B0D7B"/>
    <w:rsid w:val="007B28C2"/>
    <w:rsid w:val="007B4F16"/>
    <w:rsid w:val="007B72D4"/>
    <w:rsid w:val="007B7550"/>
    <w:rsid w:val="007C1279"/>
    <w:rsid w:val="007D0756"/>
    <w:rsid w:val="007D102D"/>
    <w:rsid w:val="007D346E"/>
    <w:rsid w:val="007E02A8"/>
    <w:rsid w:val="007E1CB1"/>
    <w:rsid w:val="007E52F6"/>
    <w:rsid w:val="007E7A85"/>
    <w:rsid w:val="007F16F9"/>
    <w:rsid w:val="007F7D2A"/>
    <w:rsid w:val="00801AE3"/>
    <w:rsid w:val="008021EA"/>
    <w:rsid w:val="0080382C"/>
    <w:rsid w:val="008050CE"/>
    <w:rsid w:val="008122F0"/>
    <w:rsid w:val="00814B6A"/>
    <w:rsid w:val="00827AA4"/>
    <w:rsid w:val="0083206A"/>
    <w:rsid w:val="008324D4"/>
    <w:rsid w:val="00842CAC"/>
    <w:rsid w:val="0085090E"/>
    <w:rsid w:val="00876261"/>
    <w:rsid w:val="0089242A"/>
    <w:rsid w:val="00895D5A"/>
    <w:rsid w:val="008B3432"/>
    <w:rsid w:val="008B5620"/>
    <w:rsid w:val="008C21F3"/>
    <w:rsid w:val="008C6FB9"/>
    <w:rsid w:val="008E4D83"/>
    <w:rsid w:val="008F7F38"/>
    <w:rsid w:val="00901990"/>
    <w:rsid w:val="009023F1"/>
    <w:rsid w:val="0091416E"/>
    <w:rsid w:val="0092313F"/>
    <w:rsid w:val="00924F70"/>
    <w:rsid w:val="009259DA"/>
    <w:rsid w:val="00930421"/>
    <w:rsid w:val="00933A9A"/>
    <w:rsid w:val="00935FD9"/>
    <w:rsid w:val="00936AC3"/>
    <w:rsid w:val="00943AF3"/>
    <w:rsid w:val="00947B49"/>
    <w:rsid w:val="00951362"/>
    <w:rsid w:val="00952E48"/>
    <w:rsid w:val="00962B81"/>
    <w:rsid w:val="00964D43"/>
    <w:rsid w:val="00972881"/>
    <w:rsid w:val="00986709"/>
    <w:rsid w:val="009A181B"/>
    <w:rsid w:val="009A600B"/>
    <w:rsid w:val="009B0727"/>
    <w:rsid w:val="009B370B"/>
    <w:rsid w:val="009C20B0"/>
    <w:rsid w:val="009C5511"/>
    <w:rsid w:val="009C66FF"/>
    <w:rsid w:val="009D0AE2"/>
    <w:rsid w:val="009D26C3"/>
    <w:rsid w:val="009D42AF"/>
    <w:rsid w:val="009D58A8"/>
    <w:rsid w:val="009E0FC5"/>
    <w:rsid w:val="009E313A"/>
    <w:rsid w:val="009E5252"/>
    <w:rsid w:val="009E718E"/>
    <w:rsid w:val="009F00C9"/>
    <w:rsid w:val="009F30D5"/>
    <w:rsid w:val="00A00CC0"/>
    <w:rsid w:val="00A02167"/>
    <w:rsid w:val="00A029FA"/>
    <w:rsid w:val="00A100C9"/>
    <w:rsid w:val="00A108C5"/>
    <w:rsid w:val="00A2160D"/>
    <w:rsid w:val="00A238E8"/>
    <w:rsid w:val="00A27F82"/>
    <w:rsid w:val="00A35E9C"/>
    <w:rsid w:val="00A549EE"/>
    <w:rsid w:val="00A554C8"/>
    <w:rsid w:val="00A5706E"/>
    <w:rsid w:val="00A65A7B"/>
    <w:rsid w:val="00A72245"/>
    <w:rsid w:val="00A7325D"/>
    <w:rsid w:val="00A86C5A"/>
    <w:rsid w:val="00A874BE"/>
    <w:rsid w:val="00A92403"/>
    <w:rsid w:val="00AA0D22"/>
    <w:rsid w:val="00AA32FA"/>
    <w:rsid w:val="00AA6F0C"/>
    <w:rsid w:val="00AA755B"/>
    <w:rsid w:val="00AA7A03"/>
    <w:rsid w:val="00AB5961"/>
    <w:rsid w:val="00AC09F6"/>
    <w:rsid w:val="00AC0DA4"/>
    <w:rsid w:val="00AC363E"/>
    <w:rsid w:val="00AD6736"/>
    <w:rsid w:val="00AE4116"/>
    <w:rsid w:val="00AE484B"/>
    <w:rsid w:val="00AE7C4C"/>
    <w:rsid w:val="00AF1207"/>
    <w:rsid w:val="00AF303A"/>
    <w:rsid w:val="00AF4404"/>
    <w:rsid w:val="00AF4D79"/>
    <w:rsid w:val="00AF6300"/>
    <w:rsid w:val="00B1385A"/>
    <w:rsid w:val="00B203AC"/>
    <w:rsid w:val="00B23422"/>
    <w:rsid w:val="00B27B4F"/>
    <w:rsid w:val="00B27DA0"/>
    <w:rsid w:val="00B34B96"/>
    <w:rsid w:val="00B37E06"/>
    <w:rsid w:val="00B44EC6"/>
    <w:rsid w:val="00B55997"/>
    <w:rsid w:val="00B56F41"/>
    <w:rsid w:val="00B71AF1"/>
    <w:rsid w:val="00B74B3D"/>
    <w:rsid w:val="00B90950"/>
    <w:rsid w:val="00B954F6"/>
    <w:rsid w:val="00B9787B"/>
    <w:rsid w:val="00B97A78"/>
    <w:rsid w:val="00BA6BD6"/>
    <w:rsid w:val="00BA7B76"/>
    <w:rsid w:val="00BB7D4D"/>
    <w:rsid w:val="00BC0691"/>
    <w:rsid w:val="00BC4801"/>
    <w:rsid w:val="00BD3C2C"/>
    <w:rsid w:val="00BD60DB"/>
    <w:rsid w:val="00BE5673"/>
    <w:rsid w:val="00C10A7A"/>
    <w:rsid w:val="00C13B4C"/>
    <w:rsid w:val="00C27714"/>
    <w:rsid w:val="00C433AC"/>
    <w:rsid w:val="00C46AA6"/>
    <w:rsid w:val="00C6046C"/>
    <w:rsid w:val="00C6483F"/>
    <w:rsid w:val="00C7079A"/>
    <w:rsid w:val="00C82C7A"/>
    <w:rsid w:val="00C86132"/>
    <w:rsid w:val="00C92C40"/>
    <w:rsid w:val="00C93D89"/>
    <w:rsid w:val="00C96C69"/>
    <w:rsid w:val="00CA1FD0"/>
    <w:rsid w:val="00CA32BA"/>
    <w:rsid w:val="00CA5FB4"/>
    <w:rsid w:val="00CA677D"/>
    <w:rsid w:val="00CB0B8E"/>
    <w:rsid w:val="00CB1898"/>
    <w:rsid w:val="00CB302D"/>
    <w:rsid w:val="00CC42BA"/>
    <w:rsid w:val="00CD2F0A"/>
    <w:rsid w:val="00CD4A8E"/>
    <w:rsid w:val="00CE5F79"/>
    <w:rsid w:val="00CF1412"/>
    <w:rsid w:val="00CF6D2A"/>
    <w:rsid w:val="00D05B8F"/>
    <w:rsid w:val="00D06063"/>
    <w:rsid w:val="00D102CD"/>
    <w:rsid w:val="00D12686"/>
    <w:rsid w:val="00D12E1E"/>
    <w:rsid w:val="00D13CAB"/>
    <w:rsid w:val="00D2250C"/>
    <w:rsid w:val="00D24A1C"/>
    <w:rsid w:val="00D25CF8"/>
    <w:rsid w:val="00D30E39"/>
    <w:rsid w:val="00D327D9"/>
    <w:rsid w:val="00D32FC7"/>
    <w:rsid w:val="00D35077"/>
    <w:rsid w:val="00D403FB"/>
    <w:rsid w:val="00D42C91"/>
    <w:rsid w:val="00D46D8F"/>
    <w:rsid w:val="00D50F2A"/>
    <w:rsid w:val="00D54D0D"/>
    <w:rsid w:val="00D551CF"/>
    <w:rsid w:val="00D66BBB"/>
    <w:rsid w:val="00D70745"/>
    <w:rsid w:val="00D71FF5"/>
    <w:rsid w:val="00D74092"/>
    <w:rsid w:val="00D77E54"/>
    <w:rsid w:val="00D9275A"/>
    <w:rsid w:val="00DA4273"/>
    <w:rsid w:val="00DA5995"/>
    <w:rsid w:val="00DB3985"/>
    <w:rsid w:val="00DB4953"/>
    <w:rsid w:val="00DC0ED4"/>
    <w:rsid w:val="00DC7F97"/>
    <w:rsid w:val="00DD019F"/>
    <w:rsid w:val="00DE15E7"/>
    <w:rsid w:val="00DF5163"/>
    <w:rsid w:val="00E01874"/>
    <w:rsid w:val="00E15D00"/>
    <w:rsid w:val="00E20570"/>
    <w:rsid w:val="00E209CB"/>
    <w:rsid w:val="00E25D34"/>
    <w:rsid w:val="00E273B4"/>
    <w:rsid w:val="00E31E8B"/>
    <w:rsid w:val="00E36D39"/>
    <w:rsid w:val="00E41B7E"/>
    <w:rsid w:val="00E44B8E"/>
    <w:rsid w:val="00E47D5B"/>
    <w:rsid w:val="00E5260E"/>
    <w:rsid w:val="00E56C4C"/>
    <w:rsid w:val="00E71CEB"/>
    <w:rsid w:val="00E74979"/>
    <w:rsid w:val="00E817C3"/>
    <w:rsid w:val="00E82CB1"/>
    <w:rsid w:val="00E83FD1"/>
    <w:rsid w:val="00E906B5"/>
    <w:rsid w:val="00E909DF"/>
    <w:rsid w:val="00EA4465"/>
    <w:rsid w:val="00EB1B2C"/>
    <w:rsid w:val="00EB54EC"/>
    <w:rsid w:val="00EB5F34"/>
    <w:rsid w:val="00EB6196"/>
    <w:rsid w:val="00EB749A"/>
    <w:rsid w:val="00EC0D5D"/>
    <w:rsid w:val="00ED1726"/>
    <w:rsid w:val="00ED2018"/>
    <w:rsid w:val="00ED2B9F"/>
    <w:rsid w:val="00ED6E2C"/>
    <w:rsid w:val="00ED7B1E"/>
    <w:rsid w:val="00EE18FB"/>
    <w:rsid w:val="00EF1C88"/>
    <w:rsid w:val="00EF69AE"/>
    <w:rsid w:val="00F06540"/>
    <w:rsid w:val="00F136B4"/>
    <w:rsid w:val="00F169DE"/>
    <w:rsid w:val="00F23D65"/>
    <w:rsid w:val="00F31A89"/>
    <w:rsid w:val="00F32A75"/>
    <w:rsid w:val="00F4051C"/>
    <w:rsid w:val="00F4663F"/>
    <w:rsid w:val="00F51DA0"/>
    <w:rsid w:val="00F52882"/>
    <w:rsid w:val="00F53831"/>
    <w:rsid w:val="00F53938"/>
    <w:rsid w:val="00F53F66"/>
    <w:rsid w:val="00F60480"/>
    <w:rsid w:val="00F623AC"/>
    <w:rsid w:val="00F804E0"/>
    <w:rsid w:val="00F80976"/>
    <w:rsid w:val="00F81262"/>
    <w:rsid w:val="00F81771"/>
    <w:rsid w:val="00F9163B"/>
    <w:rsid w:val="00F94CCF"/>
    <w:rsid w:val="00FA52B2"/>
    <w:rsid w:val="00FC5166"/>
    <w:rsid w:val="00FC53D5"/>
    <w:rsid w:val="00FC6664"/>
    <w:rsid w:val="00FD4966"/>
    <w:rsid w:val="00FD5E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0D7E19B"/>
  <w15:docId w15:val="{AC4CA1ED-655B-4B83-9704-4CC53F2C2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9D26C3"/>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Pr>
      <w:rFonts w:ascii="Tahoma" w:hAnsi="Tahoma" w:cs="Tahoma"/>
      <w:sz w:val="16"/>
      <w:szCs w:val="16"/>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Collegamentoipertestuale">
    <w:name w:val="Hyperlink"/>
    <w:uiPriority w:val="99"/>
    <w:rPr>
      <w:color w:val="0000FF"/>
      <w:u w:val="single"/>
    </w:rPr>
  </w:style>
  <w:style w:type="paragraph" w:styleId="Paragrafoelenco">
    <w:name w:val="List Paragraph"/>
    <w:basedOn w:val="Normale"/>
    <w:uiPriority w:val="34"/>
    <w:qFormat/>
    <w:rsid w:val="00952E48"/>
    <w:pPr>
      <w:spacing w:after="160" w:line="259" w:lineRule="auto"/>
      <w:ind w:left="720"/>
      <w:contextualSpacing/>
    </w:pPr>
    <w:rPr>
      <w:rFonts w:ascii="Calibri" w:eastAsia="Calibri" w:hAnsi="Calibri"/>
      <w:sz w:val="22"/>
      <w:szCs w:val="22"/>
      <w:lang w:eastAsia="en-US"/>
    </w:rPr>
  </w:style>
  <w:style w:type="paragraph" w:customStyle="1" w:styleId="Default">
    <w:name w:val="Default"/>
    <w:rsid w:val="008F7F38"/>
    <w:pPr>
      <w:autoSpaceDE w:val="0"/>
      <w:autoSpaceDN w:val="0"/>
      <w:adjustRightInd w:val="0"/>
    </w:pPr>
    <w:rPr>
      <w:rFonts w:eastAsia="Calibri"/>
      <w:color w:val="000000"/>
      <w:sz w:val="24"/>
      <w:szCs w:val="24"/>
      <w:lang w:eastAsia="en-US"/>
    </w:rPr>
  </w:style>
  <w:style w:type="character" w:styleId="Menzionenonrisolta">
    <w:name w:val="Unresolved Mention"/>
    <w:uiPriority w:val="99"/>
    <w:semiHidden/>
    <w:unhideWhenUsed/>
    <w:rsid w:val="003347DC"/>
    <w:rPr>
      <w:color w:val="605E5C"/>
      <w:shd w:val="clear" w:color="auto" w:fill="E1DFDD"/>
    </w:rPr>
  </w:style>
  <w:style w:type="character" w:styleId="Enfasigrassetto">
    <w:name w:val="Strong"/>
    <w:uiPriority w:val="22"/>
    <w:qFormat/>
    <w:rsid w:val="0009085F"/>
    <w:rPr>
      <w:b/>
      <w:bCs/>
    </w:rPr>
  </w:style>
  <w:style w:type="paragraph" w:styleId="NormaleWeb">
    <w:name w:val="Normal (Web)"/>
    <w:basedOn w:val="Normale"/>
    <w:uiPriority w:val="99"/>
    <w:semiHidden/>
    <w:unhideWhenUsed/>
    <w:rsid w:val="00C93D89"/>
  </w:style>
  <w:style w:type="character" w:styleId="Enfasicorsivo">
    <w:name w:val="Emphasis"/>
    <w:uiPriority w:val="20"/>
    <w:qFormat/>
    <w:rsid w:val="00633A04"/>
    <w:rPr>
      <w:i/>
      <w:iCs/>
    </w:rPr>
  </w:style>
  <w:style w:type="paragraph" w:customStyle="1" w:styleId="Didefault">
    <w:name w:val="Di default"/>
    <w:rsid w:val="002B3446"/>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numbering" w:customStyle="1" w:styleId="Puntielenco">
    <w:name w:val="Punti elenco"/>
    <w:rsid w:val="002B3446"/>
    <w:pPr>
      <w:numPr>
        <w:numId w:val="1"/>
      </w:numPr>
    </w:pPr>
  </w:style>
  <w:style w:type="character" w:customStyle="1" w:styleId="Nessuno">
    <w:name w:val="Nessuno"/>
    <w:rsid w:val="002B3446"/>
  </w:style>
  <w:style w:type="character" w:customStyle="1" w:styleId="Hyperlink1">
    <w:name w:val="Hyperlink.1"/>
    <w:rsid w:val="002B3446"/>
    <w:rPr>
      <w:rFonts w:ascii="Tahoma" w:eastAsia="Tahoma" w:hAnsi="Tahoma" w:cs="Tahoma"/>
      <w:color w:val="0070C0"/>
      <w:u w:val="single" w:color="0070C0"/>
      <w14:textOutline w14:w="0" w14:cap="rnd" w14:cmpd="sng" w14:algn="ctr">
        <w14:noFill/>
        <w14:prstDash w14:val="solid"/>
        <w14:bevel/>
      </w14:textOutline>
    </w:rPr>
  </w:style>
  <w:style w:type="character" w:customStyle="1" w:styleId="Hyperlink0">
    <w:name w:val="Hyperlink.0"/>
    <w:rsid w:val="002B3446"/>
    <w:rPr>
      <w:color w:val="0000FF"/>
      <w:u w:val="single" w:color="0000FF"/>
      <w14:textOutline w14:w="0" w14:cap="rnd" w14:cmpd="sng" w14:algn="ctr">
        <w14:noFill/>
        <w14:prstDash w14:val="solid"/>
        <w14:bevel/>
      </w14:textOutline>
    </w:rPr>
  </w:style>
  <w:style w:type="paragraph" w:styleId="Testonormale">
    <w:name w:val="Plain Text"/>
    <w:basedOn w:val="Normale"/>
    <w:link w:val="TestonormaleCarattere"/>
    <w:uiPriority w:val="99"/>
    <w:semiHidden/>
    <w:unhideWhenUsed/>
    <w:rsid w:val="00A549EE"/>
    <w:rPr>
      <w:rFonts w:ascii="Calibri" w:eastAsia="Calibri" w:hAnsi="Calibri" w:cs="Calibri"/>
      <w:sz w:val="22"/>
      <w:szCs w:val="22"/>
    </w:rPr>
  </w:style>
  <w:style w:type="character" w:customStyle="1" w:styleId="TestonormaleCarattere">
    <w:name w:val="Testo normale Carattere"/>
    <w:basedOn w:val="Carpredefinitoparagrafo"/>
    <w:link w:val="Testonormale"/>
    <w:uiPriority w:val="99"/>
    <w:semiHidden/>
    <w:rsid w:val="00A549EE"/>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69427">
      <w:bodyDiv w:val="1"/>
      <w:marLeft w:val="0"/>
      <w:marRight w:val="0"/>
      <w:marTop w:val="0"/>
      <w:marBottom w:val="0"/>
      <w:divBdr>
        <w:top w:val="none" w:sz="0" w:space="0" w:color="auto"/>
        <w:left w:val="none" w:sz="0" w:space="0" w:color="auto"/>
        <w:bottom w:val="none" w:sz="0" w:space="0" w:color="auto"/>
        <w:right w:val="none" w:sz="0" w:space="0" w:color="auto"/>
      </w:divBdr>
    </w:div>
    <w:div w:id="88552626">
      <w:bodyDiv w:val="1"/>
      <w:marLeft w:val="0"/>
      <w:marRight w:val="0"/>
      <w:marTop w:val="0"/>
      <w:marBottom w:val="0"/>
      <w:divBdr>
        <w:top w:val="none" w:sz="0" w:space="0" w:color="auto"/>
        <w:left w:val="none" w:sz="0" w:space="0" w:color="auto"/>
        <w:bottom w:val="none" w:sz="0" w:space="0" w:color="auto"/>
        <w:right w:val="none" w:sz="0" w:space="0" w:color="auto"/>
      </w:divBdr>
    </w:div>
    <w:div w:id="97024684">
      <w:bodyDiv w:val="1"/>
      <w:marLeft w:val="0"/>
      <w:marRight w:val="0"/>
      <w:marTop w:val="0"/>
      <w:marBottom w:val="0"/>
      <w:divBdr>
        <w:top w:val="none" w:sz="0" w:space="0" w:color="auto"/>
        <w:left w:val="none" w:sz="0" w:space="0" w:color="auto"/>
        <w:bottom w:val="none" w:sz="0" w:space="0" w:color="auto"/>
        <w:right w:val="none" w:sz="0" w:space="0" w:color="auto"/>
      </w:divBdr>
      <w:divsChild>
        <w:div w:id="255135011">
          <w:marLeft w:val="0"/>
          <w:marRight w:val="0"/>
          <w:marTop w:val="0"/>
          <w:marBottom w:val="0"/>
          <w:divBdr>
            <w:top w:val="none" w:sz="0" w:space="0" w:color="auto"/>
            <w:left w:val="none" w:sz="0" w:space="0" w:color="auto"/>
            <w:bottom w:val="none" w:sz="0" w:space="0" w:color="auto"/>
            <w:right w:val="none" w:sz="0" w:space="0" w:color="auto"/>
          </w:divBdr>
        </w:div>
      </w:divsChild>
    </w:div>
    <w:div w:id="172109742">
      <w:bodyDiv w:val="1"/>
      <w:marLeft w:val="0"/>
      <w:marRight w:val="0"/>
      <w:marTop w:val="0"/>
      <w:marBottom w:val="0"/>
      <w:divBdr>
        <w:top w:val="none" w:sz="0" w:space="0" w:color="auto"/>
        <w:left w:val="none" w:sz="0" w:space="0" w:color="auto"/>
        <w:bottom w:val="none" w:sz="0" w:space="0" w:color="auto"/>
        <w:right w:val="none" w:sz="0" w:space="0" w:color="auto"/>
      </w:divBdr>
    </w:div>
    <w:div w:id="228418633">
      <w:bodyDiv w:val="1"/>
      <w:marLeft w:val="0"/>
      <w:marRight w:val="0"/>
      <w:marTop w:val="0"/>
      <w:marBottom w:val="0"/>
      <w:divBdr>
        <w:top w:val="none" w:sz="0" w:space="0" w:color="auto"/>
        <w:left w:val="none" w:sz="0" w:space="0" w:color="auto"/>
        <w:bottom w:val="none" w:sz="0" w:space="0" w:color="auto"/>
        <w:right w:val="none" w:sz="0" w:space="0" w:color="auto"/>
      </w:divBdr>
    </w:div>
    <w:div w:id="234709877">
      <w:bodyDiv w:val="1"/>
      <w:marLeft w:val="0"/>
      <w:marRight w:val="0"/>
      <w:marTop w:val="0"/>
      <w:marBottom w:val="0"/>
      <w:divBdr>
        <w:top w:val="none" w:sz="0" w:space="0" w:color="auto"/>
        <w:left w:val="none" w:sz="0" w:space="0" w:color="auto"/>
        <w:bottom w:val="none" w:sz="0" w:space="0" w:color="auto"/>
        <w:right w:val="none" w:sz="0" w:space="0" w:color="auto"/>
      </w:divBdr>
    </w:div>
    <w:div w:id="237323157">
      <w:bodyDiv w:val="1"/>
      <w:marLeft w:val="0"/>
      <w:marRight w:val="0"/>
      <w:marTop w:val="0"/>
      <w:marBottom w:val="0"/>
      <w:divBdr>
        <w:top w:val="none" w:sz="0" w:space="0" w:color="auto"/>
        <w:left w:val="none" w:sz="0" w:space="0" w:color="auto"/>
        <w:bottom w:val="none" w:sz="0" w:space="0" w:color="auto"/>
        <w:right w:val="none" w:sz="0" w:space="0" w:color="auto"/>
      </w:divBdr>
    </w:div>
    <w:div w:id="308097474">
      <w:bodyDiv w:val="1"/>
      <w:marLeft w:val="0"/>
      <w:marRight w:val="0"/>
      <w:marTop w:val="0"/>
      <w:marBottom w:val="0"/>
      <w:divBdr>
        <w:top w:val="none" w:sz="0" w:space="0" w:color="auto"/>
        <w:left w:val="none" w:sz="0" w:space="0" w:color="auto"/>
        <w:bottom w:val="none" w:sz="0" w:space="0" w:color="auto"/>
        <w:right w:val="none" w:sz="0" w:space="0" w:color="auto"/>
      </w:divBdr>
    </w:div>
    <w:div w:id="318507793">
      <w:bodyDiv w:val="1"/>
      <w:marLeft w:val="0"/>
      <w:marRight w:val="0"/>
      <w:marTop w:val="0"/>
      <w:marBottom w:val="0"/>
      <w:divBdr>
        <w:top w:val="none" w:sz="0" w:space="0" w:color="auto"/>
        <w:left w:val="none" w:sz="0" w:space="0" w:color="auto"/>
        <w:bottom w:val="none" w:sz="0" w:space="0" w:color="auto"/>
        <w:right w:val="none" w:sz="0" w:space="0" w:color="auto"/>
      </w:divBdr>
    </w:div>
    <w:div w:id="318659278">
      <w:bodyDiv w:val="1"/>
      <w:marLeft w:val="0"/>
      <w:marRight w:val="0"/>
      <w:marTop w:val="0"/>
      <w:marBottom w:val="0"/>
      <w:divBdr>
        <w:top w:val="none" w:sz="0" w:space="0" w:color="auto"/>
        <w:left w:val="none" w:sz="0" w:space="0" w:color="auto"/>
        <w:bottom w:val="none" w:sz="0" w:space="0" w:color="auto"/>
        <w:right w:val="none" w:sz="0" w:space="0" w:color="auto"/>
      </w:divBdr>
    </w:div>
    <w:div w:id="395517468">
      <w:bodyDiv w:val="1"/>
      <w:marLeft w:val="0"/>
      <w:marRight w:val="0"/>
      <w:marTop w:val="0"/>
      <w:marBottom w:val="0"/>
      <w:divBdr>
        <w:top w:val="none" w:sz="0" w:space="0" w:color="auto"/>
        <w:left w:val="none" w:sz="0" w:space="0" w:color="auto"/>
        <w:bottom w:val="none" w:sz="0" w:space="0" w:color="auto"/>
        <w:right w:val="none" w:sz="0" w:space="0" w:color="auto"/>
      </w:divBdr>
    </w:div>
    <w:div w:id="522788613">
      <w:bodyDiv w:val="1"/>
      <w:marLeft w:val="0"/>
      <w:marRight w:val="0"/>
      <w:marTop w:val="0"/>
      <w:marBottom w:val="0"/>
      <w:divBdr>
        <w:top w:val="none" w:sz="0" w:space="0" w:color="auto"/>
        <w:left w:val="none" w:sz="0" w:space="0" w:color="auto"/>
        <w:bottom w:val="none" w:sz="0" w:space="0" w:color="auto"/>
        <w:right w:val="none" w:sz="0" w:space="0" w:color="auto"/>
      </w:divBdr>
    </w:div>
    <w:div w:id="545798429">
      <w:bodyDiv w:val="1"/>
      <w:marLeft w:val="0"/>
      <w:marRight w:val="0"/>
      <w:marTop w:val="0"/>
      <w:marBottom w:val="0"/>
      <w:divBdr>
        <w:top w:val="none" w:sz="0" w:space="0" w:color="auto"/>
        <w:left w:val="none" w:sz="0" w:space="0" w:color="auto"/>
        <w:bottom w:val="none" w:sz="0" w:space="0" w:color="auto"/>
        <w:right w:val="none" w:sz="0" w:space="0" w:color="auto"/>
      </w:divBdr>
    </w:div>
    <w:div w:id="575286715">
      <w:bodyDiv w:val="1"/>
      <w:marLeft w:val="0"/>
      <w:marRight w:val="0"/>
      <w:marTop w:val="0"/>
      <w:marBottom w:val="0"/>
      <w:divBdr>
        <w:top w:val="none" w:sz="0" w:space="0" w:color="auto"/>
        <w:left w:val="none" w:sz="0" w:space="0" w:color="auto"/>
        <w:bottom w:val="none" w:sz="0" w:space="0" w:color="auto"/>
        <w:right w:val="none" w:sz="0" w:space="0" w:color="auto"/>
      </w:divBdr>
    </w:div>
    <w:div w:id="623081352">
      <w:bodyDiv w:val="1"/>
      <w:marLeft w:val="0"/>
      <w:marRight w:val="0"/>
      <w:marTop w:val="0"/>
      <w:marBottom w:val="0"/>
      <w:divBdr>
        <w:top w:val="none" w:sz="0" w:space="0" w:color="auto"/>
        <w:left w:val="none" w:sz="0" w:space="0" w:color="auto"/>
        <w:bottom w:val="none" w:sz="0" w:space="0" w:color="auto"/>
        <w:right w:val="none" w:sz="0" w:space="0" w:color="auto"/>
      </w:divBdr>
    </w:div>
    <w:div w:id="665935163">
      <w:bodyDiv w:val="1"/>
      <w:marLeft w:val="0"/>
      <w:marRight w:val="0"/>
      <w:marTop w:val="0"/>
      <w:marBottom w:val="0"/>
      <w:divBdr>
        <w:top w:val="none" w:sz="0" w:space="0" w:color="auto"/>
        <w:left w:val="none" w:sz="0" w:space="0" w:color="auto"/>
        <w:bottom w:val="none" w:sz="0" w:space="0" w:color="auto"/>
        <w:right w:val="none" w:sz="0" w:space="0" w:color="auto"/>
      </w:divBdr>
    </w:div>
    <w:div w:id="874999546">
      <w:bodyDiv w:val="1"/>
      <w:marLeft w:val="0"/>
      <w:marRight w:val="0"/>
      <w:marTop w:val="0"/>
      <w:marBottom w:val="0"/>
      <w:divBdr>
        <w:top w:val="none" w:sz="0" w:space="0" w:color="auto"/>
        <w:left w:val="none" w:sz="0" w:space="0" w:color="auto"/>
        <w:bottom w:val="none" w:sz="0" w:space="0" w:color="auto"/>
        <w:right w:val="none" w:sz="0" w:space="0" w:color="auto"/>
      </w:divBdr>
    </w:div>
    <w:div w:id="1015955739">
      <w:bodyDiv w:val="1"/>
      <w:marLeft w:val="0"/>
      <w:marRight w:val="0"/>
      <w:marTop w:val="0"/>
      <w:marBottom w:val="0"/>
      <w:divBdr>
        <w:top w:val="none" w:sz="0" w:space="0" w:color="auto"/>
        <w:left w:val="none" w:sz="0" w:space="0" w:color="auto"/>
        <w:bottom w:val="none" w:sz="0" w:space="0" w:color="auto"/>
        <w:right w:val="none" w:sz="0" w:space="0" w:color="auto"/>
      </w:divBdr>
    </w:div>
    <w:div w:id="1065569638">
      <w:bodyDiv w:val="1"/>
      <w:marLeft w:val="0"/>
      <w:marRight w:val="0"/>
      <w:marTop w:val="0"/>
      <w:marBottom w:val="0"/>
      <w:divBdr>
        <w:top w:val="none" w:sz="0" w:space="0" w:color="auto"/>
        <w:left w:val="none" w:sz="0" w:space="0" w:color="auto"/>
        <w:bottom w:val="none" w:sz="0" w:space="0" w:color="auto"/>
        <w:right w:val="none" w:sz="0" w:space="0" w:color="auto"/>
      </w:divBdr>
    </w:div>
    <w:div w:id="1105149096">
      <w:bodyDiv w:val="1"/>
      <w:marLeft w:val="0"/>
      <w:marRight w:val="0"/>
      <w:marTop w:val="0"/>
      <w:marBottom w:val="0"/>
      <w:divBdr>
        <w:top w:val="none" w:sz="0" w:space="0" w:color="auto"/>
        <w:left w:val="none" w:sz="0" w:space="0" w:color="auto"/>
        <w:bottom w:val="none" w:sz="0" w:space="0" w:color="auto"/>
        <w:right w:val="none" w:sz="0" w:space="0" w:color="auto"/>
      </w:divBdr>
    </w:div>
    <w:div w:id="1313094342">
      <w:bodyDiv w:val="1"/>
      <w:marLeft w:val="0"/>
      <w:marRight w:val="0"/>
      <w:marTop w:val="0"/>
      <w:marBottom w:val="0"/>
      <w:divBdr>
        <w:top w:val="none" w:sz="0" w:space="0" w:color="auto"/>
        <w:left w:val="none" w:sz="0" w:space="0" w:color="auto"/>
        <w:bottom w:val="none" w:sz="0" w:space="0" w:color="auto"/>
        <w:right w:val="none" w:sz="0" w:space="0" w:color="auto"/>
      </w:divBdr>
    </w:div>
    <w:div w:id="1355233073">
      <w:bodyDiv w:val="1"/>
      <w:marLeft w:val="0"/>
      <w:marRight w:val="0"/>
      <w:marTop w:val="0"/>
      <w:marBottom w:val="0"/>
      <w:divBdr>
        <w:top w:val="none" w:sz="0" w:space="0" w:color="auto"/>
        <w:left w:val="none" w:sz="0" w:space="0" w:color="auto"/>
        <w:bottom w:val="none" w:sz="0" w:space="0" w:color="auto"/>
        <w:right w:val="none" w:sz="0" w:space="0" w:color="auto"/>
      </w:divBdr>
    </w:div>
    <w:div w:id="1455059655">
      <w:bodyDiv w:val="1"/>
      <w:marLeft w:val="0"/>
      <w:marRight w:val="0"/>
      <w:marTop w:val="0"/>
      <w:marBottom w:val="0"/>
      <w:divBdr>
        <w:top w:val="none" w:sz="0" w:space="0" w:color="auto"/>
        <w:left w:val="none" w:sz="0" w:space="0" w:color="auto"/>
        <w:bottom w:val="none" w:sz="0" w:space="0" w:color="auto"/>
        <w:right w:val="none" w:sz="0" w:space="0" w:color="auto"/>
      </w:divBdr>
    </w:div>
    <w:div w:id="1520000481">
      <w:bodyDiv w:val="1"/>
      <w:marLeft w:val="0"/>
      <w:marRight w:val="0"/>
      <w:marTop w:val="0"/>
      <w:marBottom w:val="0"/>
      <w:divBdr>
        <w:top w:val="none" w:sz="0" w:space="0" w:color="auto"/>
        <w:left w:val="none" w:sz="0" w:space="0" w:color="auto"/>
        <w:bottom w:val="none" w:sz="0" w:space="0" w:color="auto"/>
        <w:right w:val="none" w:sz="0" w:space="0" w:color="auto"/>
      </w:divBdr>
    </w:div>
    <w:div w:id="1527594266">
      <w:bodyDiv w:val="1"/>
      <w:marLeft w:val="0"/>
      <w:marRight w:val="0"/>
      <w:marTop w:val="0"/>
      <w:marBottom w:val="0"/>
      <w:divBdr>
        <w:top w:val="none" w:sz="0" w:space="0" w:color="auto"/>
        <w:left w:val="none" w:sz="0" w:space="0" w:color="auto"/>
        <w:bottom w:val="none" w:sz="0" w:space="0" w:color="auto"/>
        <w:right w:val="none" w:sz="0" w:space="0" w:color="auto"/>
      </w:divBdr>
    </w:div>
    <w:div w:id="1646351945">
      <w:bodyDiv w:val="1"/>
      <w:marLeft w:val="0"/>
      <w:marRight w:val="0"/>
      <w:marTop w:val="0"/>
      <w:marBottom w:val="0"/>
      <w:divBdr>
        <w:top w:val="none" w:sz="0" w:space="0" w:color="auto"/>
        <w:left w:val="none" w:sz="0" w:space="0" w:color="auto"/>
        <w:bottom w:val="none" w:sz="0" w:space="0" w:color="auto"/>
        <w:right w:val="none" w:sz="0" w:space="0" w:color="auto"/>
      </w:divBdr>
    </w:div>
    <w:div w:id="1868713636">
      <w:bodyDiv w:val="1"/>
      <w:marLeft w:val="0"/>
      <w:marRight w:val="0"/>
      <w:marTop w:val="0"/>
      <w:marBottom w:val="0"/>
      <w:divBdr>
        <w:top w:val="none" w:sz="0" w:space="0" w:color="auto"/>
        <w:left w:val="none" w:sz="0" w:space="0" w:color="auto"/>
        <w:bottom w:val="none" w:sz="0" w:space="0" w:color="auto"/>
        <w:right w:val="none" w:sz="0" w:space="0" w:color="auto"/>
      </w:divBdr>
    </w:div>
    <w:div w:id="1900550876">
      <w:bodyDiv w:val="1"/>
      <w:marLeft w:val="0"/>
      <w:marRight w:val="0"/>
      <w:marTop w:val="0"/>
      <w:marBottom w:val="0"/>
      <w:divBdr>
        <w:top w:val="none" w:sz="0" w:space="0" w:color="auto"/>
        <w:left w:val="none" w:sz="0" w:space="0" w:color="auto"/>
        <w:bottom w:val="none" w:sz="0" w:space="0" w:color="auto"/>
        <w:right w:val="none" w:sz="0" w:space="0" w:color="auto"/>
      </w:divBdr>
    </w:div>
    <w:div w:id="1904219491">
      <w:bodyDiv w:val="1"/>
      <w:marLeft w:val="0"/>
      <w:marRight w:val="0"/>
      <w:marTop w:val="0"/>
      <w:marBottom w:val="0"/>
      <w:divBdr>
        <w:top w:val="none" w:sz="0" w:space="0" w:color="auto"/>
        <w:left w:val="none" w:sz="0" w:space="0" w:color="auto"/>
        <w:bottom w:val="none" w:sz="0" w:space="0" w:color="auto"/>
        <w:right w:val="none" w:sz="0" w:space="0" w:color="auto"/>
      </w:divBdr>
    </w:div>
    <w:div w:id="1987124347">
      <w:bodyDiv w:val="1"/>
      <w:marLeft w:val="0"/>
      <w:marRight w:val="0"/>
      <w:marTop w:val="0"/>
      <w:marBottom w:val="0"/>
      <w:divBdr>
        <w:top w:val="none" w:sz="0" w:space="0" w:color="auto"/>
        <w:left w:val="none" w:sz="0" w:space="0" w:color="auto"/>
        <w:bottom w:val="none" w:sz="0" w:space="0" w:color="auto"/>
        <w:right w:val="none" w:sz="0" w:space="0" w:color="auto"/>
      </w:divBdr>
    </w:div>
    <w:div w:id="208896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SW12ADC02\archivi\010_CONFINDUSTRIA%20UMBRIA\Notiziario\2020\EDILIZIA\edilizia@confindustria.terni.it" TargetMode="External"/><Relationship Id="rId3" Type="http://schemas.openxmlformats.org/officeDocument/2006/relationships/settings" Target="settings.xml"/><Relationship Id="rId7" Type="http://schemas.openxmlformats.org/officeDocument/2006/relationships/hyperlink" Target="file:///\\SW12ADC02\archivi\010_CONFINDUSTRIA%20UMBRIA\Notiziario\2020\EDILIZIA\info@anceumbria.it%2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500_Software\Procedure_associazione\MODELLI\MODELLI\Confindustria%20Umbria\NUOVA%20CARTA%20INTESTATA%202018_REV.%20SETTEMBRE%202018\Carta%20intestata%20Confindustria%20Umbria_Il%20Direttore%20General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Carta intestata Confindustria Umbria_Il Direttore Generale.dotx</Template>
  <TotalTime>7</TotalTime>
  <Pages>3</Pages>
  <Words>1238</Words>
  <Characters>7841</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Associazione Industriali</vt:lpstr>
    </vt:vector>
  </TitlesOfParts>
  <Company>Assindustria</Company>
  <LinksUpToDate>false</LinksUpToDate>
  <CharactersWithSpaces>9061</CharactersWithSpaces>
  <SharedDoc>false</SharedDoc>
  <HLinks>
    <vt:vector size="12" baseType="variant">
      <vt:variant>
        <vt:i4>7667784</vt:i4>
      </vt:variant>
      <vt:variant>
        <vt:i4>3</vt:i4>
      </vt:variant>
      <vt:variant>
        <vt:i4>0</vt:i4>
      </vt:variant>
      <vt:variant>
        <vt:i4>5</vt:i4>
      </vt:variant>
      <vt:variant>
        <vt:lpwstr>edilizia@confindustria.terni.it</vt:lpwstr>
      </vt:variant>
      <vt:variant>
        <vt:lpwstr/>
      </vt:variant>
      <vt:variant>
        <vt:i4>2555987</vt:i4>
      </vt:variant>
      <vt:variant>
        <vt:i4>0</vt:i4>
      </vt:variant>
      <vt:variant>
        <vt:i4>0</vt:i4>
      </vt:variant>
      <vt:variant>
        <vt:i4>5</vt:i4>
      </vt:variant>
      <vt:variant>
        <vt:lpwstr>info@anceumbria.it </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Associazione Industriali</dc:title>
  <dc:subject/>
  <dc:creator>Cristina Malfagia</dc:creator>
  <cp:keywords/>
  <cp:lastModifiedBy>Cristina Malfagia</cp:lastModifiedBy>
  <cp:revision>5</cp:revision>
  <cp:lastPrinted>2020-08-17T08:20:00Z</cp:lastPrinted>
  <dcterms:created xsi:type="dcterms:W3CDTF">2020-08-18T09:02:00Z</dcterms:created>
  <dcterms:modified xsi:type="dcterms:W3CDTF">2020-08-18T09:07:00Z</dcterms:modified>
</cp:coreProperties>
</file>