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1E768" w14:textId="42FC06C9" w:rsidR="00D21307" w:rsidRDefault="0012613A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pict w14:anchorId="036903AB">
          <v:shape id="Segno di sottrazione 5" o:spid="_x0000_s1026" style="position:absolute;margin-left:-73.75pt;margin-top:-24pt;width:599.25pt;height:3.6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" path="m1008768,17483r5592939,l6601707,28236r-5592939,l1008768,17483xe" fillcolor="#205394" strokecolor="#385d8a" strokeweight="1pt">
            <v:path arrowok="t" o:connecttype="custom" o:connectlocs="1008768,17483;6601707,17483;6601707,28236;1008768,28236;1008768,17483" o:connectangles="0,0,0,0,0"/>
          </v:shape>
        </w:pict>
      </w:r>
      <w:r w:rsidR="00CC3FB6" w:rsidRPr="00CC3FB6">
        <w:rPr>
          <w:rFonts w:ascii="Calibri" w:hAnsi="Calibri" w:cs="Calibri"/>
          <w:b/>
          <w:bCs/>
          <w:color w:val="000000"/>
          <w:sz w:val="22"/>
          <w:szCs w:val="22"/>
        </w:rPr>
        <w:t xml:space="preserve">Progetti </w:t>
      </w:r>
      <w:r w:rsidR="00B57D0A">
        <w:rPr>
          <w:rFonts w:ascii="Calibri" w:hAnsi="Calibri" w:cs="Calibri"/>
          <w:b/>
          <w:bCs/>
          <w:color w:val="000000"/>
          <w:sz w:val="22"/>
          <w:szCs w:val="22"/>
        </w:rPr>
        <w:t>di ricerca e sviluppo</w:t>
      </w:r>
      <w:r w:rsidR="00CC3FB6" w:rsidRPr="00CC3FB6">
        <w:rPr>
          <w:rFonts w:ascii="Calibri" w:hAnsi="Calibri" w:cs="Calibri"/>
          <w:b/>
          <w:bCs/>
          <w:color w:val="000000"/>
          <w:sz w:val="22"/>
          <w:szCs w:val="22"/>
        </w:rPr>
        <w:t xml:space="preserve"> per l’economia circolare: incentivi MISE</w:t>
      </w:r>
    </w:p>
    <w:p w14:paraId="60E58995" w14:textId="77777777" w:rsidR="00B57D0A" w:rsidRDefault="00B57D0A" w:rsidP="00B57D0A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3FFDD5E" w14:textId="768B811F" w:rsidR="00B57D0A" w:rsidRPr="00B57D0A" w:rsidRDefault="00B57D0A" w:rsidP="00B57D0A">
      <w:pPr>
        <w:rPr>
          <w:rFonts w:ascii="Calibri" w:hAnsi="Calibri" w:cs="Calibri"/>
          <w:color w:val="000000"/>
          <w:sz w:val="22"/>
          <w:szCs w:val="22"/>
        </w:rPr>
      </w:pPr>
      <w:r w:rsidRPr="00B57D0A">
        <w:rPr>
          <w:rFonts w:ascii="Calibri" w:hAnsi="Calibri" w:cs="Calibri"/>
          <w:color w:val="000000"/>
          <w:sz w:val="22"/>
          <w:szCs w:val="22"/>
        </w:rPr>
        <w:t>Termini e modalità per la presentazione delle domande</w:t>
      </w:r>
    </w:p>
    <w:p w14:paraId="599D2582" w14:textId="25041585" w:rsidR="00B57D0A" w:rsidRDefault="00B57D0A" w:rsidP="00D21307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8BA4EEF" w14:textId="30646D3F" w:rsidR="000D3F0A" w:rsidRPr="000D3F0A" w:rsidRDefault="000D3F0A" w:rsidP="00D21307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</w:t>
      </w:r>
      <w:r w:rsidRPr="000D3F0A">
        <w:rPr>
          <w:rFonts w:ascii="Calibri" w:hAnsi="Calibri" w:cs="Calibri"/>
          <w:color w:val="000000"/>
          <w:sz w:val="22"/>
          <w:szCs w:val="22"/>
        </w:rPr>
        <w:t xml:space="preserve">l Ministero dello Sviluppo economico ha pubblicato il </w:t>
      </w:r>
      <w:r>
        <w:rPr>
          <w:rFonts w:ascii="Calibri" w:hAnsi="Calibri" w:cs="Calibri"/>
          <w:color w:val="000000"/>
          <w:sz w:val="22"/>
          <w:szCs w:val="22"/>
        </w:rPr>
        <w:t>D</w:t>
      </w:r>
      <w:r w:rsidRPr="000D3F0A">
        <w:rPr>
          <w:rFonts w:ascii="Calibri" w:hAnsi="Calibri" w:cs="Calibri"/>
          <w:color w:val="000000"/>
          <w:sz w:val="22"/>
          <w:szCs w:val="22"/>
        </w:rPr>
        <w:t>ecreto direttoriale che stabilisce i termini e le modalità per la presentazione delle domande di agevolazione a favore dei progetti di ricerca e sviluppo per la riconversione produttiva nell’ambito dell’economia circolare (</w:t>
      </w:r>
      <w:r>
        <w:rPr>
          <w:rFonts w:ascii="Calibri" w:hAnsi="Calibri" w:cs="Calibri"/>
          <w:color w:val="000000"/>
          <w:sz w:val="22"/>
          <w:szCs w:val="22"/>
        </w:rPr>
        <w:t>D</w:t>
      </w:r>
      <w:r w:rsidRPr="000D3F0A">
        <w:rPr>
          <w:rFonts w:ascii="Calibri" w:hAnsi="Calibri" w:cs="Calibri"/>
          <w:color w:val="000000"/>
          <w:sz w:val="22"/>
          <w:szCs w:val="22"/>
        </w:rPr>
        <w:t>ecreto ministeriale 11 giugno 2020).</w:t>
      </w:r>
    </w:p>
    <w:p w14:paraId="49615F62" w14:textId="77777777" w:rsidR="000D3F0A" w:rsidRDefault="000D3F0A" w:rsidP="00B57D0A">
      <w:pPr>
        <w:rPr>
          <w:rFonts w:ascii="Calibri" w:hAnsi="Calibri" w:cs="Calibri Light"/>
          <w:sz w:val="22"/>
          <w:szCs w:val="22"/>
        </w:rPr>
      </w:pPr>
    </w:p>
    <w:p w14:paraId="7BB8967B" w14:textId="70F6DBF6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 xml:space="preserve">L’intervento del Fondo per la crescita sostenibile per i progetti di ricerca e sviluppo nell’ambito dell’economia circolare, attivato con il </w:t>
      </w:r>
      <w:r w:rsidR="00067218">
        <w:rPr>
          <w:rFonts w:ascii="Calibri" w:hAnsi="Calibri" w:cs="Calibri Light"/>
          <w:b/>
          <w:bCs/>
          <w:sz w:val="22"/>
          <w:szCs w:val="22"/>
        </w:rPr>
        <w:t>D</w:t>
      </w:r>
      <w:r w:rsidRPr="00067218">
        <w:rPr>
          <w:rFonts w:ascii="Calibri" w:hAnsi="Calibri" w:cs="Calibri Light"/>
          <w:b/>
          <w:bCs/>
          <w:sz w:val="22"/>
          <w:szCs w:val="22"/>
        </w:rPr>
        <w:t xml:space="preserve">ecreto </w:t>
      </w:r>
      <w:r w:rsidR="00067218">
        <w:rPr>
          <w:rFonts w:ascii="Calibri" w:hAnsi="Calibri" w:cs="Calibri Light"/>
          <w:b/>
          <w:bCs/>
          <w:sz w:val="22"/>
          <w:szCs w:val="22"/>
        </w:rPr>
        <w:t xml:space="preserve">ministeriale </w:t>
      </w:r>
      <w:r w:rsidRPr="00067218">
        <w:rPr>
          <w:rFonts w:ascii="Calibri" w:hAnsi="Calibri" w:cs="Calibri Light"/>
          <w:b/>
          <w:bCs/>
          <w:sz w:val="22"/>
          <w:szCs w:val="22"/>
        </w:rPr>
        <w:t>11 giugno 2020</w:t>
      </w:r>
      <w:r w:rsidRPr="00B57D0A">
        <w:rPr>
          <w:rFonts w:ascii="Calibri" w:hAnsi="Calibri" w:cs="Calibri Light"/>
          <w:sz w:val="22"/>
          <w:szCs w:val="22"/>
        </w:rPr>
        <w:t>, sostiene la ricerca, lo sviluppo e la sperimentazione di soluzioni innovative per l’utilizzo efficiente e sostenibile delle risorse, con la finalità di promuovere la riconversione delle attività produttive verso un modello di economia circolare in cui il valore dei prodotti, dei materiali e delle risorse è mantenuto quanto più a lungo possibile</w:t>
      </w:r>
      <w:r w:rsidR="00067218">
        <w:rPr>
          <w:rFonts w:ascii="Calibri" w:hAnsi="Calibri" w:cs="Calibri Light"/>
          <w:sz w:val="22"/>
          <w:szCs w:val="22"/>
        </w:rPr>
        <w:t xml:space="preserve"> </w:t>
      </w:r>
      <w:r w:rsidRPr="00B57D0A">
        <w:rPr>
          <w:rFonts w:ascii="Calibri" w:hAnsi="Calibri" w:cs="Calibri Light"/>
          <w:sz w:val="22"/>
          <w:szCs w:val="22"/>
        </w:rPr>
        <w:t>e la produzione di rifiuti è ridotta al minimo.</w:t>
      </w:r>
    </w:p>
    <w:p w14:paraId="7371E9E3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74269762" w14:textId="77777777" w:rsidR="00B57D0A" w:rsidRPr="00B57D0A" w:rsidRDefault="00B57D0A" w:rsidP="00B57D0A">
      <w:pPr>
        <w:rPr>
          <w:rFonts w:ascii="Calibri" w:hAnsi="Calibri" w:cs="Calibri Light"/>
          <w:b/>
          <w:bCs/>
          <w:sz w:val="22"/>
          <w:szCs w:val="22"/>
        </w:rPr>
      </w:pPr>
      <w:r w:rsidRPr="00B57D0A">
        <w:rPr>
          <w:rFonts w:ascii="Calibri" w:hAnsi="Calibri" w:cs="Calibri Light"/>
          <w:b/>
          <w:bCs/>
          <w:sz w:val="22"/>
          <w:szCs w:val="22"/>
        </w:rPr>
        <w:t>A chi si rivolge</w:t>
      </w:r>
    </w:p>
    <w:p w14:paraId="078A766D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Imprese di qualsiasi dimensione che esercitano attività industriali, agroindustriali, artigiane, di servizi all’industria e centri di ricerca, che presentano progetti singolarmente o in forma congiunta. Per i soli progetti congiunti, sono ammessi anche gli organismi di ricerca, pubblici e privati, in qualità di co-proponenti.</w:t>
      </w:r>
    </w:p>
    <w:p w14:paraId="65EDF5C2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74F9FC39" w14:textId="77777777" w:rsidR="00B57D0A" w:rsidRPr="00B57D0A" w:rsidRDefault="00B57D0A" w:rsidP="00B57D0A">
      <w:pPr>
        <w:rPr>
          <w:rFonts w:ascii="Calibri" w:hAnsi="Calibri" w:cs="Calibri Light"/>
          <w:b/>
          <w:bCs/>
          <w:sz w:val="22"/>
          <w:szCs w:val="22"/>
        </w:rPr>
      </w:pPr>
      <w:r w:rsidRPr="00B57D0A">
        <w:rPr>
          <w:rFonts w:ascii="Calibri" w:hAnsi="Calibri" w:cs="Calibri Light"/>
          <w:b/>
          <w:bCs/>
          <w:sz w:val="22"/>
          <w:szCs w:val="22"/>
        </w:rPr>
        <w:t>Cosa finanzia</w:t>
      </w:r>
    </w:p>
    <w:p w14:paraId="354E145D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 xml:space="preserve">L’intervento sostiene attività di ricerca industriale e sviluppo sperimentale, strettamente connesse tra di loro in relazione all'obiettivo previsto dal progetto e finalizzate alla realizzazione di nuovi prodotti, processi o servizi o al notevole miglioramento di prodotti, processi o servizi esistenti, tramite lo sviluppo delle tecnologie abilitanti fondamentali (Key </w:t>
      </w:r>
      <w:proofErr w:type="spellStart"/>
      <w:r w:rsidRPr="00B57D0A">
        <w:rPr>
          <w:rFonts w:ascii="Calibri" w:hAnsi="Calibri" w:cs="Calibri Light"/>
          <w:sz w:val="22"/>
          <w:szCs w:val="22"/>
        </w:rPr>
        <w:t>Enabling</w:t>
      </w:r>
      <w:proofErr w:type="spellEnd"/>
      <w:r w:rsidRPr="00B57D0A">
        <w:rPr>
          <w:rFonts w:ascii="Calibri" w:hAnsi="Calibri" w:cs="Calibri Light"/>
          <w:sz w:val="22"/>
          <w:szCs w:val="22"/>
        </w:rPr>
        <w:t xml:space="preserve"> Technologies, </w:t>
      </w:r>
      <w:proofErr w:type="spellStart"/>
      <w:r w:rsidRPr="00B57D0A">
        <w:rPr>
          <w:rFonts w:ascii="Calibri" w:hAnsi="Calibri" w:cs="Calibri Light"/>
          <w:sz w:val="22"/>
          <w:szCs w:val="22"/>
        </w:rPr>
        <w:t>KETs</w:t>
      </w:r>
      <w:proofErr w:type="spellEnd"/>
      <w:r w:rsidRPr="00B57D0A">
        <w:rPr>
          <w:rFonts w:ascii="Calibri" w:hAnsi="Calibri" w:cs="Calibri Light"/>
          <w:sz w:val="22"/>
          <w:szCs w:val="22"/>
        </w:rPr>
        <w:t>) (allegato n. 1 al decreto 11 giugno 2020).</w:t>
      </w:r>
    </w:p>
    <w:p w14:paraId="383CC926" w14:textId="77777777" w:rsidR="001A1B7F" w:rsidRDefault="001A1B7F" w:rsidP="00B57D0A">
      <w:pPr>
        <w:rPr>
          <w:rFonts w:ascii="Calibri" w:hAnsi="Calibri" w:cs="Calibri Light"/>
          <w:sz w:val="22"/>
          <w:szCs w:val="22"/>
        </w:rPr>
      </w:pPr>
    </w:p>
    <w:p w14:paraId="0F6FFECB" w14:textId="2A37C2E6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I progetti devono essere finalizzati alla riconversione produttiva delle attività economiche nell’ambito dell’economia circolare, in una o più delle seguenti linee di intervento:</w:t>
      </w:r>
    </w:p>
    <w:p w14:paraId="568E5E67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1.</w:t>
      </w:r>
      <w:r w:rsidRPr="00B57D0A">
        <w:rPr>
          <w:rFonts w:ascii="Calibri" w:hAnsi="Calibri" w:cs="Calibri Light"/>
          <w:sz w:val="22"/>
          <w:szCs w:val="22"/>
        </w:rPr>
        <w:tab/>
        <w:t xml:space="preserve"> innovazioni di prodotto e di processo in tema di utilizzo efficiente delle risorse e di trattamento e trasformazione dei rifiuti;</w:t>
      </w:r>
    </w:p>
    <w:p w14:paraId="2EC87926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2.</w:t>
      </w:r>
      <w:r w:rsidRPr="00B57D0A">
        <w:rPr>
          <w:rFonts w:ascii="Calibri" w:hAnsi="Calibri" w:cs="Calibri Light"/>
          <w:sz w:val="22"/>
          <w:szCs w:val="22"/>
        </w:rPr>
        <w:tab/>
        <w:t xml:space="preserve"> progettazione e sperimentazione prototipale di modelli tecnologici integrati finalizzati al rafforzamento dei percorsi di simbiosi industriale;</w:t>
      </w:r>
    </w:p>
    <w:p w14:paraId="5BDC7793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3.</w:t>
      </w:r>
      <w:r w:rsidRPr="00B57D0A">
        <w:rPr>
          <w:rFonts w:ascii="Calibri" w:hAnsi="Calibri" w:cs="Calibri Light"/>
          <w:sz w:val="22"/>
          <w:szCs w:val="22"/>
        </w:rPr>
        <w:tab/>
        <w:t xml:space="preserve"> sistemi, strumenti e metodologie per lo sviluppo delle tecnologie per la fornitura, l'uso razionale e la sanificazione dell'acqua;</w:t>
      </w:r>
    </w:p>
    <w:p w14:paraId="33E43B43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4.</w:t>
      </w:r>
      <w:r w:rsidRPr="00B57D0A">
        <w:rPr>
          <w:rFonts w:ascii="Calibri" w:hAnsi="Calibri" w:cs="Calibri Light"/>
          <w:sz w:val="22"/>
          <w:szCs w:val="22"/>
        </w:rPr>
        <w:tab/>
        <w:t xml:space="preserve"> strumenti tecnologici innovativi in grado di aumentare il tempo di vita dei prodotti e di efficientare il ciclo produttivo;</w:t>
      </w:r>
    </w:p>
    <w:p w14:paraId="55C252A7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5.</w:t>
      </w:r>
      <w:r w:rsidRPr="00B57D0A">
        <w:rPr>
          <w:rFonts w:ascii="Calibri" w:hAnsi="Calibri" w:cs="Calibri Light"/>
          <w:sz w:val="22"/>
          <w:szCs w:val="22"/>
        </w:rPr>
        <w:tab/>
        <w:t xml:space="preserve"> sperimentazione di nuovi modelli di packaging intelligente (smart packaging) che prevedano anche l'utilizzo di materiali recuperati;</w:t>
      </w:r>
    </w:p>
    <w:p w14:paraId="1AE9BE4A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6.</w:t>
      </w:r>
      <w:r w:rsidRPr="00B57D0A">
        <w:rPr>
          <w:rFonts w:ascii="Calibri" w:hAnsi="Calibri" w:cs="Calibri Light"/>
          <w:sz w:val="22"/>
          <w:szCs w:val="22"/>
        </w:rPr>
        <w:tab/>
        <w:t xml:space="preserve"> sistemi di selezione del materiale </w:t>
      </w:r>
      <w:proofErr w:type="spellStart"/>
      <w:r w:rsidRPr="00B57D0A">
        <w:rPr>
          <w:rFonts w:ascii="Calibri" w:hAnsi="Calibri" w:cs="Calibri Light"/>
          <w:sz w:val="22"/>
          <w:szCs w:val="22"/>
        </w:rPr>
        <w:t>multileggero</w:t>
      </w:r>
      <w:proofErr w:type="spellEnd"/>
      <w:r w:rsidRPr="00B57D0A">
        <w:rPr>
          <w:rFonts w:ascii="Calibri" w:hAnsi="Calibri" w:cs="Calibri Light"/>
          <w:sz w:val="22"/>
          <w:szCs w:val="22"/>
        </w:rPr>
        <w:t>, al fine di aumentare le quote di recupero e di riciclo di materiali piccoli e leggeri.</w:t>
      </w:r>
    </w:p>
    <w:p w14:paraId="2CD46775" w14:textId="77777777" w:rsidR="001A1B7F" w:rsidRDefault="001A1B7F" w:rsidP="00B57D0A">
      <w:pPr>
        <w:rPr>
          <w:rFonts w:ascii="Calibri" w:hAnsi="Calibri" w:cs="Calibri Light"/>
          <w:sz w:val="22"/>
          <w:szCs w:val="22"/>
        </w:rPr>
      </w:pPr>
    </w:p>
    <w:p w14:paraId="1435ECC2" w14:textId="0EFD773F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Sono ammissibili progetti con elevato contenuto di innovazione tecnologica e sostenibilità, realizzati negli ambiti del ciclo produttivo rilevanti per l’economia circolare (individuati dall’allegato n. 2 al decreto 11 giugno 2020).</w:t>
      </w:r>
    </w:p>
    <w:p w14:paraId="5012C216" w14:textId="77777777" w:rsidR="001A1B7F" w:rsidRDefault="001A1B7F" w:rsidP="00B57D0A">
      <w:pPr>
        <w:rPr>
          <w:rFonts w:ascii="Calibri" w:hAnsi="Calibri" w:cs="Calibri Light"/>
          <w:sz w:val="22"/>
          <w:szCs w:val="22"/>
        </w:rPr>
      </w:pPr>
    </w:p>
    <w:p w14:paraId="73C89A14" w14:textId="6B91B67D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I progetti ammissibili inoltre devono:</w:t>
      </w:r>
    </w:p>
    <w:p w14:paraId="71CBD5AB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lastRenderedPageBreak/>
        <w:t>a.</w:t>
      </w:r>
      <w:r w:rsidRPr="00B57D0A">
        <w:rPr>
          <w:rFonts w:ascii="Calibri" w:hAnsi="Calibri" w:cs="Calibri Light"/>
          <w:sz w:val="22"/>
          <w:szCs w:val="22"/>
        </w:rPr>
        <w:tab/>
        <w:t xml:space="preserve"> essere realizzati nell'ambito di una o più unità locali ubicate nel territorio nazionale;</w:t>
      </w:r>
    </w:p>
    <w:p w14:paraId="33D0EA3F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b.</w:t>
      </w:r>
      <w:r w:rsidRPr="00B57D0A">
        <w:rPr>
          <w:rFonts w:ascii="Calibri" w:hAnsi="Calibri" w:cs="Calibri Light"/>
          <w:sz w:val="22"/>
          <w:szCs w:val="22"/>
        </w:rPr>
        <w:tab/>
        <w:t xml:space="preserve"> prevedere spese e costi ammissibili non inferiori a euro 500 mila e non superiori a euro 2 milioni;</w:t>
      </w:r>
    </w:p>
    <w:p w14:paraId="70B746BB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c.</w:t>
      </w:r>
      <w:r w:rsidRPr="00B57D0A">
        <w:rPr>
          <w:rFonts w:ascii="Calibri" w:hAnsi="Calibri" w:cs="Calibri Light"/>
          <w:sz w:val="22"/>
          <w:szCs w:val="22"/>
        </w:rPr>
        <w:tab/>
        <w:t xml:space="preserve"> avere una durata non inferiore a 12 mesi e non superiore a 36 mesi.</w:t>
      </w:r>
    </w:p>
    <w:p w14:paraId="42215797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410F060D" w14:textId="77777777" w:rsidR="00067218" w:rsidRDefault="00067218" w:rsidP="00B57D0A">
      <w:pPr>
        <w:rPr>
          <w:rFonts w:ascii="Calibri" w:hAnsi="Calibri" w:cs="Calibri Light"/>
          <w:b/>
          <w:bCs/>
          <w:sz w:val="22"/>
          <w:szCs w:val="22"/>
        </w:rPr>
      </w:pPr>
    </w:p>
    <w:p w14:paraId="495768B9" w14:textId="77777777" w:rsidR="00067218" w:rsidRDefault="00067218" w:rsidP="00B57D0A">
      <w:pPr>
        <w:rPr>
          <w:rFonts w:ascii="Calibri" w:hAnsi="Calibri" w:cs="Calibri Light"/>
          <w:b/>
          <w:bCs/>
          <w:sz w:val="22"/>
          <w:szCs w:val="22"/>
        </w:rPr>
      </w:pPr>
    </w:p>
    <w:p w14:paraId="35D29857" w14:textId="77777777" w:rsidR="00067218" w:rsidRDefault="00067218" w:rsidP="00B57D0A">
      <w:pPr>
        <w:rPr>
          <w:rFonts w:ascii="Calibri" w:hAnsi="Calibri" w:cs="Calibri Light"/>
          <w:b/>
          <w:bCs/>
          <w:sz w:val="22"/>
          <w:szCs w:val="22"/>
        </w:rPr>
      </w:pPr>
    </w:p>
    <w:p w14:paraId="142A05D0" w14:textId="39596709" w:rsidR="00B57D0A" w:rsidRPr="00B57D0A" w:rsidRDefault="00B57D0A" w:rsidP="00B57D0A">
      <w:pPr>
        <w:rPr>
          <w:rFonts w:ascii="Calibri" w:hAnsi="Calibri" w:cs="Calibri Light"/>
          <w:b/>
          <w:bCs/>
          <w:sz w:val="22"/>
          <w:szCs w:val="22"/>
        </w:rPr>
      </w:pPr>
      <w:r w:rsidRPr="00B57D0A">
        <w:rPr>
          <w:rFonts w:ascii="Calibri" w:hAnsi="Calibri" w:cs="Calibri Light"/>
          <w:b/>
          <w:bCs/>
          <w:sz w:val="22"/>
          <w:szCs w:val="22"/>
        </w:rPr>
        <w:t>Termini e modalità di presentazione delle domande</w:t>
      </w:r>
    </w:p>
    <w:p w14:paraId="2B2DBAC1" w14:textId="6EA38346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 xml:space="preserve">Con </w:t>
      </w:r>
      <w:r w:rsidR="00067218" w:rsidRPr="00067218">
        <w:rPr>
          <w:rFonts w:ascii="Calibri" w:hAnsi="Calibri" w:cs="Calibri Light"/>
          <w:b/>
          <w:bCs/>
          <w:sz w:val="22"/>
          <w:szCs w:val="22"/>
        </w:rPr>
        <w:t>D</w:t>
      </w:r>
      <w:r w:rsidRPr="00067218">
        <w:rPr>
          <w:rFonts w:ascii="Calibri" w:hAnsi="Calibri" w:cs="Calibri Light"/>
          <w:b/>
          <w:bCs/>
          <w:sz w:val="22"/>
          <w:szCs w:val="22"/>
        </w:rPr>
        <w:t>ecreto direttoriale 5 agosto 2020</w:t>
      </w:r>
      <w:r w:rsidRPr="00B57D0A">
        <w:rPr>
          <w:rFonts w:ascii="Calibri" w:hAnsi="Calibri" w:cs="Calibri Light"/>
          <w:sz w:val="22"/>
          <w:szCs w:val="22"/>
        </w:rPr>
        <w:t xml:space="preserve"> sono stati stabiliti i termini e le modalità per la presentazione delle domande. Dal 5 novembre 2020, dalle ore 10.00 alle ore 19.00, le imprese potranno presentare, in via esclusivamente telematica, anche in forma congiunta, le domande.</w:t>
      </w:r>
    </w:p>
    <w:p w14:paraId="14624ED0" w14:textId="17612044" w:rsid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 xml:space="preserve">La procedura di precompilazione delle domande e degli allegati sarà disponibile dal 26 ottobre 2020. Le imprese dovranno allegare alla domanda l’attestazione di disponibilità alla concessione del finanziamento, prevista per l’accesso al FRI, come specificato nel </w:t>
      </w:r>
      <w:r w:rsidR="00067218">
        <w:rPr>
          <w:rFonts w:ascii="Calibri" w:hAnsi="Calibri" w:cs="Calibri Light"/>
          <w:sz w:val="22"/>
          <w:szCs w:val="22"/>
        </w:rPr>
        <w:t>D</w:t>
      </w:r>
      <w:r w:rsidRPr="00B57D0A">
        <w:rPr>
          <w:rFonts w:ascii="Calibri" w:hAnsi="Calibri" w:cs="Calibri Light"/>
          <w:sz w:val="22"/>
          <w:szCs w:val="22"/>
        </w:rPr>
        <w:t>ecreto direttoriale 5 agosto 2020.</w:t>
      </w:r>
    </w:p>
    <w:p w14:paraId="29081AF0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1A764D18" w14:textId="77777777" w:rsidR="00B57D0A" w:rsidRPr="00B57D0A" w:rsidRDefault="00B57D0A" w:rsidP="00B57D0A">
      <w:pPr>
        <w:rPr>
          <w:rFonts w:ascii="Calibri" w:hAnsi="Calibri" w:cs="Calibri Light"/>
          <w:b/>
          <w:bCs/>
          <w:sz w:val="22"/>
          <w:szCs w:val="22"/>
        </w:rPr>
      </w:pPr>
      <w:r w:rsidRPr="00B57D0A">
        <w:rPr>
          <w:rFonts w:ascii="Calibri" w:hAnsi="Calibri" w:cs="Calibri Light"/>
          <w:b/>
          <w:bCs/>
          <w:sz w:val="22"/>
          <w:szCs w:val="22"/>
        </w:rPr>
        <w:t>Le risorse</w:t>
      </w:r>
    </w:p>
    <w:p w14:paraId="477848CA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Per l’agevolazione dei progetti sono disponibili:</w:t>
      </w:r>
    </w:p>
    <w:p w14:paraId="27228E40" w14:textId="77777777" w:rsidR="00067218" w:rsidRDefault="00B57D0A" w:rsidP="00B57D0A">
      <w:pPr>
        <w:numPr>
          <w:ilvl w:val="0"/>
          <w:numId w:val="32"/>
        </w:numPr>
        <w:rPr>
          <w:rFonts w:ascii="Calibri" w:hAnsi="Calibri" w:cs="Calibri Light"/>
          <w:sz w:val="22"/>
          <w:szCs w:val="22"/>
        </w:rPr>
      </w:pPr>
      <w:r w:rsidRPr="00067218">
        <w:rPr>
          <w:rFonts w:ascii="Calibri" w:hAnsi="Calibri" w:cs="Calibri Light"/>
          <w:b/>
          <w:bCs/>
          <w:sz w:val="22"/>
          <w:szCs w:val="22"/>
        </w:rPr>
        <w:t>155 milioni di euro</w:t>
      </w:r>
      <w:r w:rsidRPr="00B57D0A">
        <w:rPr>
          <w:rFonts w:ascii="Calibri" w:hAnsi="Calibri" w:cs="Calibri Light"/>
          <w:sz w:val="22"/>
          <w:szCs w:val="22"/>
        </w:rPr>
        <w:t xml:space="preserve"> per la concessione dei finanziamenti agevolati, a valere sul Fondo rotativo per il sostegno alle imprese e gli investimenti in ricerca (FRI);</w:t>
      </w:r>
    </w:p>
    <w:p w14:paraId="25677DCE" w14:textId="77777777" w:rsidR="00067218" w:rsidRDefault="00B57D0A" w:rsidP="00B57D0A">
      <w:pPr>
        <w:numPr>
          <w:ilvl w:val="0"/>
          <w:numId w:val="32"/>
        </w:numPr>
        <w:rPr>
          <w:rFonts w:ascii="Calibri" w:hAnsi="Calibri" w:cs="Calibri Light"/>
          <w:sz w:val="22"/>
          <w:szCs w:val="22"/>
        </w:rPr>
      </w:pPr>
      <w:r w:rsidRPr="00067218">
        <w:rPr>
          <w:rFonts w:ascii="Calibri" w:hAnsi="Calibri" w:cs="Calibri Light"/>
          <w:b/>
          <w:bCs/>
          <w:sz w:val="22"/>
          <w:szCs w:val="22"/>
        </w:rPr>
        <w:t>62 milioni di euro</w:t>
      </w:r>
      <w:r w:rsidRPr="00067218">
        <w:rPr>
          <w:rFonts w:ascii="Calibri" w:hAnsi="Calibri" w:cs="Calibri Light"/>
          <w:sz w:val="22"/>
          <w:szCs w:val="22"/>
        </w:rPr>
        <w:t xml:space="preserve"> per la concessione dei contributi alla spesa, di cui:</w:t>
      </w:r>
    </w:p>
    <w:p w14:paraId="5A8DEF3C" w14:textId="10274B90" w:rsidR="00067218" w:rsidRDefault="00B57D0A" w:rsidP="00067218">
      <w:pPr>
        <w:ind w:left="720"/>
        <w:rPr>
          <w:rFonts w:ascii="Calibri" w:hAnsi="Calibri" w:cs="Calibri Light"/>
          <w:sz w:val="22"/>
          <w:szCs w:val="22"/>
        </w:rPr>
      </w:pPr>
      <w:r w:rsidRPr="00067218">
        <w:rPr>
          <w:rFonts w:ascii="Calibri" w:hAnsi="Calibri" w:cs="Calibri Light"/>
          <w:sz w:val="22"/>
          <w:szCs w:val="22"/>
        </w:rPr>
        <w:t>40 milioni a valere sul Fondo sviluppo e coesione, destinati per l’80% ai progetti realizzati nelle regioni del Mezzogiorno, e per il 20% a quelli realizzati nelle regioni del Centro-nord, di cui: 32milioni destinati ai progetti realizzati nel Mezzogiorno (regioni meno sviluppate e regioni in transizione) e 8 milioni destinati ai progetti realizzati nel Centro Nord (regioni più sviluppate);</w:t>
      </w:r>
    </w:p>
    <w:p w14:paraId="676E5E5F" w14:textId="77777777" w:rsidR="00067218" w:rsidRDefault="00B57D0A" w:rsidP="00067218">
      <w:pPr>
        <w:ind w:left="720"/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20 milioni a valere sul Fondo per la crescita sostenibile, destinati ai progetti realizzati sull’intero territorio nazionale;</w:t>
      </w:r>
    </w:p>
    <w:p w14:paraId="15F3B1B2" w14:textId="3762E16A" w:rsidR="00B57D0A" w:rsidRPr="00B57D0A" w:rsidRDefault="00B57D0A" w:rsidP="00067218">
      <w:pPr>
        <w:ind w:left="720"/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2 milioni a valere sulle risorse rese disponibili dalla Regione Basilicata, per l’agevolazione di progetti realizzati nel territorio regionale.</w:t>
      </w:r>
    </w:p>
    <w:p w14:paraId="40F4C1BF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08B98C30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Sono previste due riserve, ognuna pari a circa la metà degli stanziamenti: una per i progetti delle imprese di piccole e medie dimensioni e delle reti di imprese nell’intero territorio nazionale ed una destinata esclusivamente ai progetti da realizzare nel Mezzogiorno.</w:t>
      </w:r>
    </w:p>
    <w:p w14:paraId="5143D212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31DEE511" w14:textId="77777777" w:rsidR="00B57D0A" w:rsidRPr="00B57D0A" w:rsidRDefault="00B57D0A" w:rsidP="00B57D0A">
      <w:pPr>
        <w:rPr>
          <w:rFonts w:ascii="Calibri" w:hAnsi="Calibri" w:cs="Calibri Light"/>
          <w:b/>
          <w:bCs/>
          <w:sz w:val="22"/>
          <w:szCs w:val="22"/>
        </w:rPr>
      </w:pPr>
      <w:r w:rsidRPr="00B57D0A">
        <w:rPr>
          <w:rFonts w:ascii="Calibri" w:hAnsi="Calibri" w:cs="Calibri Light"/>
          <w:b/>
          <w:bCs/>
          <w:sz w:val="22"/>
          <w:szCs w:val="22"/>
        </w:rPr>
        <w:t>Le agevolazioni</w:t>
      </w:r>
    </w:p>
    <w:p w14:paraId="4F067F90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Per le imprese, finanziamenti agevolati del FRI, per il 50% delle spese e dei costi ammissibili di progetto.</w:t>
      </w:r>
    </w:p>
    <w:p w14:paraId="47588E9B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Contributi alla spesa, in misura delle seguenti percentuali delle spese e dei costi ammissibili di progetto:</w:t>
      </w:r>
    </w:p>
    <w:p w14:paraId="2B639B3D" w14:textId="4E8AA01D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•</w:t>
      </w:r>
      <w:r w:rsidRPr="00B57D0A">
        <w:rPr>
          <w:rFonts w:ascii="Calibri" w:hAnsi="Calibri" w:cs="Calibri Light"/>
          <w:sz w:val="22"/>
          <w:szCs w:val="22"/>
        </w:rPr>
        <w:tab/>
        <w:t>20% per le micro e piccole imprese, e per gli organismi di ricerca</w:t>
      </w:r>
      <w:r w:rsidR="00067218">
        <w:rPr>
          <w:rFonts w:ascii="Calibri" w:hAnsi="Calibri" w:cs="Calibri Light"/>
          <w:sz w:val="22"/>
          <w:szCs w:val="22"/>
        </w:rPr>
        <w:t>;</w:t>
      </w:r>
    </w:p>
    <w:p w14:paraId="27473F37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•</w:t>
      </w:r>
      <w:r w:rsidRPr="00B57D0A">
        <w:rPr>
          <w:rFonts w:ascii="Calibri" w:hAnsi="Calibri" w:cs="Calibri Light"/>
          <w:sz w:val="22"/>
          <w:szCs w:val="22"/>
        </w:rPr>
        <w:tab/>
        <w:t>15% per le medie imprese;</w:t>
      </w:r>
    </w:p>
    <w:p w14:paraId="7350E277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•</w:t>
      </w:r>
      <w:r w:rsidRPr="00B57D0A">
        <w:rPr>
          <w:rFonts w:ascii="Calibri" w:hAnsi="Calibri" w:cs="Calibri Light"/>
          <w:sz w:val="22"/>
          <w:szCs w:val="22"/>
        </w:rPr>
        <w:tab/>
        <w:t>10% per le grandi imprese.</w:t>
      </w:r>
    </w:p>
    <w:p w14:paraId="010CE5FF" w14:textId="77777777" w:rsidR="00B57D0A" w:rsidRPr="00B57D0A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>Le agevolazioni nella forma del finanziamento agevolato e del contributo alla spesa sono concedibili alle imprese unicamente in concorso tra loro, seguendo i vincoli di destinazione territoriale previsti per i contributi.</w:t>
      </w:r>
    </w:p>
    <w:p w14:paraId="4F75E238" w14:textId="77777777" w:rsidR="00B57D0A" w:rsidRDefault="00B57D0A" w:rsidP="00B57D0A">
      <w:pPr>
        <w:rPr>
          <w:rFonts w:ascii="Calibri" w:hAnsi="Calibri" w:cs="Calibri Light"/>
          <w:sz w:val="22"/>
          <w:szCs w:val="22"/>
        </w:rPr>
      </w:pPr>
    </w:p>
    <w:p w14:paraId="60F54955" w14:textId="47EA4F71" w:rsidR="00B00A2F" w:rsidRDefault="00B57D0A" w:rsidP="00B57D0A">
      <w:pPr>
        <w:rPr>
          <w:rFonts w:ascii="Calibri" w:hAnsi="Calibri" w:cs="Calibri Light"/>
          <w:sz w:val="22"/>
          <w:szCs w:val="22"/>
        </w:rPr>
      </w:pPr>
      <w:r w:rsidRPr="00B57D0A">
        <w:rPr>
          <w:rFonts w:ascii="Calibri" w:hAnsi="Calibri" w:cs="Calibri Light"/>
          <w:sz w:val="22"/>
          <w:szCs w:val="22"/>
        </w:rPr>
        <w:t xml:space="preserve">Tutti gli aspetti legati anche ai criteri per la valutazione dei progetti, nell’ambito dell’attività istruttoria, sono sintetizzati nelle </w:t>
      </w:r>
      <w:r w:rsidRPr="00067218">
        <w:rPr>
          <w:rFonts w:ascii="Calibri" w:hAnsi="Calibri" w:cs="Calibri Light"/>
          <w:b/>
          <w:bCs/>
          <w:sz w:val="22"/>
          <w:szCs w:val="22"/>
        </w:rPr>
        <w:t>slide</w:t>
      </w:r>
      <w:r w:rsidRPr="00B57D0A">
        <w:rPr>
          <w:rFonts w:ascii="Calibri" w:hAnsi="Calibri" w:cs="Calibri Light"/>
          <w:sz w:val="22"/>
          <w:szCs w:val="22"/>
        </w:rPr>
        <w:t xml:space="preserve"> disponibili al seguente </w:t>
      </w:r>
      <w:hyperlink r:id="rId7" w:history="1">
        <w:r w:rsidRPr="00B57D0A">
          <w:rPr>
            <w:rStyle w:val="Collegamentoipertestuale"/>
            <w:rFonts w:ascii="Calibri" w:hAnsi="Calibri" w:cs="Calibri Light"/>
            <w:sz w:val="22"/>
            <w:szCs w:val="22"/>
          </w:rPr>
          <w:t>link</w:t>
        </w:r>
      </w:hyperlink>
      <w:r w:rsidRPr="00B57D0A">
        <w:rPr>
          <w:rFonts w:ascii="Calibri" w:hAnsi="Calibri" w:cs="Calibri Light"/>
          <w:sz w:val="22"/>
          <w:szCs w:val="22"/>
        </w:rPr>
        <w:t>.</w:t>
      </w:r>
    </w:p>
    <w:p w14:paraId="39BE74C0" w14:textId="77777777" w:rsidR="00B00A2F" w:rsidRDefault="00B00A2F" w:rsidP="00B00A2F">
      <w:pPr>
        <w:spacing w:line="360" w:lineRule="atLeast"/>
      </w:pPr>
    </w:p>
    <w:p w14:paraId="6F5E2610" w14:textId="77777777" w:rsidR="00B00A2F" w:rsidRPr="00466A5F" w:rsidRDefault="00B00A2F" w:rsidP="00C3700B">
      <w:pPr>
        <w:rPr>
          <w:rFonts w:ascii="Calibri" w:hAnsi="Calibri" w:cs="Calibri Light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1F0CCBFC" w14:textId="182D3D4E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Alessandro Castagnino Tel. 075 5820230 – Cell. 335 7175365 </w:t>
      </w:r>
    </w:p>
    <w:p w14:paraId="48FA35B9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A82347">
        <w:rPr>
          <w:rFonts w:ascii="Calibri" w:hAnsi="Calibri" w:cs="Calibri"/>
          <w:sz w:val="22"/>
          <w:szCs w:val="22"/>
          <w:lang w:val="en-US"/>
        </w:rPr>
        <w:lastRenderedPageBreak/>
        <w:t xml:space="preserve">Email: 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castagnino@confindustria.umbria.it</w:t>
        </w:r>
      </w:hyperlink>
      <w:r w:rsidRPr="00A82347">
        <w:rPr>
          <w:rFonts w:ascii="Calibri" w:hAnsi="Calibri" w:cs="Calibri"/>
          <w:sz w:val="22"/>
          <w:szCs w:val="22"/>
          <w:lang w:val="en-US"/>
        </w:rPr>
        <w:br/>
      </w: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0D3F0A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0D3F0A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9" w:history="1">
        <w:r w:rsidRPr="000D3F0A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0D3F0A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1993761F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>Email: </w:t>
      </w:r>
      <w:hyperlink r:id="rId10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389CE1E4" w14:textId="77777777" w:rsidR="005A6420" w:rsidRPr="00777439" w:rsidRDefault="005A6420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both"/>
        <w:rPr>
          <w:rFonts w:ascii="Calibri" w:hAnsi="Calibri" w:cs="Calibri"/>
          <w:sz w:val="22"/>
          <w:szCs w:val="22"/>
        </w:rPr>
      </w:pPr>
    </w:p>
    <w:p w14:paraId="310C91E3" w14:textId="77777777" w:rsidR="0091416E" w:rsidRPr="00777439" w:rsidRDefault="0091416E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4A457965" w14:textId="40E0A07B" w:rsidR="00134010" w:rsidRPr="00777439" w:rsidRDefault="00134010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04797544" w14:textId="77777777" w:rsidR="00F33005" w:rsidRPr="00777439" w:rsidRDefault="00F33005" w:rsidP="00D27A1C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="Calibri" w:hAnsi="Calibri" w:cs="Calibri"/>
          <w:sz w:val="22"/>
          <w:szCs w:val="22"/>
        </w:rPr>
      </w:pPr>
    </w:p>
    <w:p w14:paraId="7FBCA73E" w14:textId="64695B6D" w:rsidR="00783E6E" w:rsidRPr="00777439" w:rsidRDefault="00952E48" w:rsidP="000A4D82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 w:rsidRPr="00A00EBE">
        <w:rPr>
          <w:rFonts w:ascii="Calibri" w:hAnsi="Calibri" w:cs="Calibri"/>
          <w:sz w:val="22"/>
          <w:szCs w:val="22"/>
        </w:rPr>
        <w:t xml:space="preserve">Pubblicato il </w:t>
      </w:r>
      <w:r w:rsidR="007405DF">
        <w:rPr>
          <w:rFonts w:ascii="Calibri" w:hAnsi="Calibri" w:cs="Calibri"/>
          <w:sz w:val="22"/>
          <w:szCs w:val="22"/>
        </w:rPr>
        <w:t>0</w:t>
      </w:r>
      <w:r w:rsidR="00CC3FB6">
        <w:rPr>
          <w:rFonts w:ascii="Calibri" w:hAnsi="Calibri" w:cs="Calibri"/>
          <w:sz w:val="22"/>
          <w:szCs w:val="22"/>
        </w:rPr>
        <w:t>7</w:t>
      </w:r>
      <w:r w:rsidR="00A66B46" w:rsidRPr="00A00EBE">
        <w:rPr>
          <w:rFonts w:ascii="Calibri" w:hAnsi="Calibri" w:cs="Calibri"/>
          <w:sz w:val="22"/>
          <w:szCs w:val="22"/>
        </w:rPr>
        <w:t>/0</w:t>
      </w:r>
      <w:r w:rsidR="007405DF">
        <w:rPr>
          <w:rFonts w:ascii="Calibri" w:hAnsi="Calibri" w:cs="Calibri"/>
          <w:sz w:val="22"/>
          <w:szCs w:val="22"/>
        </w:rPr>
        <w:t>8</w:t>
      </w:r>
      <w:r w:rsidR="00A66B46" w:rsidRPr="00A00EBE">
        <w:rPr>
          <w:rFonts w:ascii="Calibri" w:hAnsi="Calibri" w:cs="Calibri"/>
          <w:sz w:val="22"/>
          <w:szCs w:val="22"/>
        </w:rPr>
        <w:t>/2020</w:t>
      </w:r>
    </w:p>
    <w:sectPr w:rsidR="00783E6E" w:rsidRPr="00777439" w:rsidSect="004E62C8">
      <w:headerReference w:type="first" r:id="rId11"/>
      <w:footerReference w:type="first" r:id="rId12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2DC36E" w14:textId="77777777" w:rsidR="0012613A" w:rsidRDefault="0012613A">
      <w:r>
        <w:separator/>
      </w:r>
    </w:p>
  </w:endnote>
  <w:endnote w:type="continuationSeparator" w:id="0">
    <w:p w14:paraId="7B9413FF" w14:textId="77777777" w:rsidR="0012613A" w:rsidRDefault="00126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6C4F2B" w14:textId="77777777" w:rsidR="0012613A" w:rsidRDefault="0012613A">
      <w:r>
        <w:separator/>
      </w:r>
    </w:p>
  </w:footnote>
  <w:footnote w:type="continuationSeparator" w:id="0">
    <w:p w14:paraId="120DAFAB" w14:textId="77777777" w:rsidR="0012613A" w:rsidRDefault="00126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77777777" w:rsidR="001867E9" w:rsidRDefault="0012613A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pict w14:anchorId="6656F28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" o:spid="_x0000_i1025" type="#_x0000_t75" alt="acquila" style="width:41.25pt;height:39pt;visibility:visible">
                <v:imagedata r:id="rId1" o:title="acquila"/>
              </v:shape>
            </w:pict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77679"/>
    <w:multiLevelType w:val="hybridMultilevel"/>
    <w:tmpl w:val="E056D794"/>
    <w:lvl w:ilvl="0" w:tplc="19C0601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FB4882"/>
    <w:multiLevelType w:val="multilevel"/>
    <w:tmpl w:val="AD82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22"/>
  </w:num>
  <w:num w:numId="4">
    <w:abstractNumId w:val="12"/>
  </w:num>
  <w:num w:numId="5">
    <w:abstractNumId w:val="2"/>
  </w:num>
  <w:num w:numId="6">
    <w:abstractNumId w:val="13"/>
  </w:num>
  <w:num w:numId="7">
    <w:abstractNumId w:val="16"/>
  </w:num>
  <w:num w:numId="8">
    <w:abstractNumId w:val="26"/>
  </w:num>
  <w:num w:numId="9">
    <w:abstractNumId w:val="30"/>
  </w:num>
  <w:num w:numId="10">
    <w:abstractNumId w:val="25"/>
  </w:num>
  <w:num w:numId="11">
    <w:abstractNumId w:val="14"/>
  </w:num>
  <w:num w:numId="12">
    <w:abstractNumId w:val="23"/>
  </w:num>
  <w:num w:numId="13">
    <w:abstractNumId w:val="5"/>
  </w:num>
  <w:num w:numId="14">
    <w:abstractNumId w:val="11"/>
  </w:num>
  <w:num w:numId="15">
    <w:abstractNumId w:val="0"/>
  </w:num>
  <w:num w:numId="16">
    <w:abstractNumId w:val="3"/>
  </w:num>
  <w:num w:numId="17">
    <w:abstractNumId w:val="18"/>
  </w:num>
  <w:num w:numId="18">
    <w:abstractNumId w:val="1"/>
  </w:num>
  <w:num w:numId="19">
    <w:abstractNumId w:val="27"/>
  </w:num>
  <w:num w:numId="20">
    <w:abstractNumId w:val="19"/>
  </w:num>
  <w:num w:numId="21">
    <w:abstractNumId w:val="7"/>
  </w:num>
  <w:num w:numId="22">
    <w:abstractNumId w:val="29"/>
  </w:num>
  <w:num w:numId="23">
    <w:abstractNumId w:val="15"/>
  </w:num>
  <w:num w:numId="24">
    <w:abstractNumId w:val="8"/>
  </w:num>
  <w:num w:numId="25">
    <w:abstractNumId w:val="4"/>
  </w:num>
  <w:num w:numId="26">
    <w:abstractNumId w:val="6"/>
  </w:num>
  <w:num w:numId="27">
    <w:abstractNumId w:val="28"/>
  </w:num>
  <w:num w:numId="28">
    <w:abstractNumId w:val="24"/>
  </w:num>
  <w:num w:numId="29">
    <w:abstractNumId w:val="9"/>
  </w:num>
  <w:num w:numId="30">
    <w:abstractNumId w:val="31"/>
  </w:num>
  <w:num w:numId="31">
    <w:abstractNumId w:val="20"/>
  </w:num>
  <w:num w:numId="3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67218"/>
    <w:rsid w:val="00080ADD"/>
    <w:rsid w:val="00084DD6"/>
    <w:rsid w:val="00086200"/>
    <w:rsid w:val="00087150"/>
    <w:rsid w:val="00090452"/>
    <w:rsid w:val="0009085F"/>
    <w:rsid w:val="00091677"/>
    <w:rsid w:val="00094BA5"/>
    <w:rsid w:val="000969C3"/>
    <w:rsid w:val="000A323E"/>
    <w:rsid w:val="000A39AE"/>
    <w:rsid w:val="000A4D82"/>
    <w:rsid w:val="000B06C6"/>
    <w:rsid w:val="000B2103"/>
    <w:rsid w:val="000B75FE"/>
    <w:rsid w:val="000B7F4A"/>
    <w:rsid w:val="000C53BB"/>
    <w:rsid w:val="000C6553"/>
    <w:rsid w:val="000D0123"/>
    <w:rsid w:val="000D36C6"/>
    <w:rsid w:val="000D3F0A"/>
    <w:rsid w:val="000D4668"/>
    <w:rsid w:val="000D4ADA"/>
    <w:rsid w:val="000E38C9"/>
    <w:rsid w:val="000E5391"/>
    <w:rsid w:val="000E6DB1"/>
    <w:rsid w:val="000F19AF"/>
    <w:rsid w:val="00100C48"/>
    <w:rsid w:val="00103B58"/>
    <w:rsid w:val="0010566D"/>
    <w:rsid w:val="0012613A"/>
    <w:rsid w:val="00126D4F"/>
    <w:rsid w:val="001311CA"/>
    <w:rsid w:val="00134010"/>
    <w:rsid w:val="00136808"/>
    <w:rsid w:val="00151B1D"/>
    <w:rsid w:val="00151BDD"/>
    <w:rsid w:val="00160F19"/>
    <w:rsid w:val="00162768"/>
    <w:rsid w:val="001674E2"/>
    <w:rsid w:val="00172666"/>
    <w:rsid w:val="00181F9E"/>
    <w:rsid w:val="001867E9"/>
    <w:rsid w:val="001A0EA6"/>
    <w:rsid w:val="001A1B7F"/>
    <w:rsid w:val="001A46F2"/>
    <w:rsid w:val="001A61DB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216DD"/>
    <w:rsid w:val="0022540F"/>
    <w:rsid w:val="00230989"/>
    <w:rsid w:val="002360B0"/>
    <w:rsid w:val="002375D8"/>
    <w:rsid w:val="00237B46"/>
    <w:rsid w:val="00242295"/>
    <w:rsid w:val="0025409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300CDB"/>
    <w:rsid w:val="00306EA7"/>
    <w:rsid w:val="003114C4"/>
    <w:rsid w:val="00322729"/>
    <w:rsid w:val="00322EE8"/>
    <w:rsid w:val="00326815"/>
    <w:rsid w:val="003347DC"/>
    <w:rsid w:val="003360E9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3E63C1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1827"/>
    <w:rsid w:val="00465747"/>
    <w:rsid w:val="00466A5F"/>
    <w:rsid w:val="00472D2B"/>
    <w:rsid w:val="00474ADE"/>
    <w:rsid w:val="00481D3A"/>
    <w:rsid w:val="00483E55"/>
    <w:rsid w:val="004963B3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56744"/>
    <w:rsid w:val="005615FE"/>
    <w:rsid w:val="00565BA4"/>
    <w:rsid w:val="00570DF9"/>
    <w:rsid w:val="00571AA5"/>
    <w:rsid w:val="00580D22"/>
    <w:rsid w:val="005952A0"/>
    <w:rsid w:val="005A2227"/>
    <w:rsid w:val="005A2FBD"/>
    <w:rsid w:val="005A6420"/>
    <w:rsid w:val="005A68AC"/>
    <w:rsid w:val="005B68CD"/>
    <w:rsid w:val="005C35FE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600B26"/>
    <w:rsid w:val="00606C5A"/>
    <w:rsid w:val="0061424A"/>
    <w:rsid w:val="00617528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6D5"/>
    <w:rsid w:val="00706997"/>
    <w:rsid w:val="00710780"/>
    <w:rsid w:val="007120A3"/>
    <w:rsid w:val="007212D6"/>
    <w:rsid w:val="00721719"/>
    <w:rsid w:val="007248A8"/>
    <w:rsid w:val="00724906"/>
    <w:rsid w:val="007268E0"/>
    <w:rsid w:val="007278BF"/>
    <w:rsid w:val="00727E86"/>
    <w:rsid w:val="00730857"/>
    <w:rsid w:val="007336E8"/>
    <w:rsid w:val="007405DF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283D"/>
    <w:rsid w:val="007F7D2A"/>
    <w:rsid w:val="008009D5"/>
    <w:rsid w:val="00801AE3"/>
    <w:rsid w:val="0080382C"/>
    <w:rsid w:val="008050CE"/>
    <w:rsid w:val="00812C76"/>
    <w:rsid w:val="00814B6A"/>
    <w:rsid w:val="0082055D"/>
    <w:rsid w:val="00827AA4"/>
    <w:rsid w:val="0083206A"/>
    <w:rsid w:val="008324D4"/>
    <w:rsid w:val="00842CAC"/>
    <w:rsid w:val="00846546"/>
    <w:rsid w:val="008649FC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7F3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4F5D"/>
    <w:rsid w:val="00AA3206"/>
    <w:rsid w:val="00AA755B"/>
    <w:rsid w:val="00AA7A03"/>
    <w:rsid w:val="00AB5961"/>
    <w:rsid w:val="00AC09F6"/>
    <w:rsid w:val="00AC0DA4"/>
    <w:rsid w:val="00AC1A58"/>
    <w:rsid w:val="00AC363E"/>
    <w:rsid w:val="00AC7651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00A2F"/>
    <w:rsid w:val="00B1385A"/>
    <w:rsid w:val="00B20995"/>
    <w:rsid w:val="00B27B4F"/>
    <w:rsid w:val="00B27DA0"/>
    <w:rsid w:val="00B34B96"/>
    <w:rsid w:val="00B44EC6"/>
    <w:rsid w:val="00B55997"/>
    <w:rsid w:val="00B56F41"/>
    <w:rsid w:val="00B57D0A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BF5417"/>
    <w:rsid w:val="00C10A7A"/>
    <w:rsid w:val="00C13B4C"/>
    <w:rsid w:val="00C24A9A"/>
    <w:rsid w:val="00C27714"/>
    <w:rsid w:val="00C3700B"/>
    <w:rsid w:val="00C433AC"/>
    <w:rsid w:val="00C46AA6"/>
    <w:rsid w:val="00C6046C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C3FB6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1307"/>
    <w:rsid w:val="00D2250C"/>
    <w:rsid w:val="00D24A1C"/>
    <w:rsid w:val="00D25CF8"/>
    <w:rsid w:val="00D27A1C"/>
    <w:rsid w:val="00D30E39"/>
    <w:rsid w:val="00D327D9"/>
    <w:rsid w:val="00D32FC7"/>
    <w:rsid w:val="00D35077"/>
    <w:rsid w:val="00D403FB"/>
    <w:rsid w:val="00D44C59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72E8"/>
    <w:rsid w:val="00DF5163"/>
    <w:rsid w:val="00DF7579"/>
    <w:rsid w:val="00E00F2C"/>
    <w:rsid w:val="00E07BDC"/>
    <w:rsid w:val="00E15415"/>
    <w:rsid w:val="00E20570"/>
    <w:rsid w:val="00E209CB"/>
    <w:rsid w:val="00E25D34"/>
    <w:rsid w:val="00E273B4"/>
    <w:rsid w:val="00E31E8B"/>
    <w:rsid w:val="00E36D39"/>
    <w:rsid w:val="00E44B8E"/>
    <w:rsid w:val="00E47D5B"/>
    <w:rsid w:val="00E5260E"/>
    <w:rsid w:val="00E56C4C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69AE"/>
    <w:rsid w:val="00F0608B"/>
    <w:rsid w:val="00F120FE"/>
    <w:rsid w:val="00F15475"/>
    <w:rsid w:val="00F169DE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C7F5F"/>
    <w:rsid w:val="00FD401E"/>
    <w:rsid w:val="00FD4772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stagnino@confindustria.umbria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se.gov.it/index.php/it/93-normativa/decreti-direttoriali/2041359-decreto-direttoriale-5-agosto-2020-progetti-di-r-s-economia-circolare-termini-e-le-modalita-per-la-presentazione-delle-doman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oscini@confindustria.umbr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ignaroli@confindustria.umbria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352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6732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73</cp:revision>
  <cp:lastPrinted>2019-02-27T17:41:00Z</cp:lastPrinted>
  <dcterms:created xsi:type="dcterms:W3CDTF">2020-03-10T08:33:00Z</dcterms:created>
  <dcterms:modified xsi:type="dcterms:W3CDTF">2020-08-07T14:42:00Z</dcterms:modified>
</cp:coreProperties>
</file>