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7BE5" w14:textId="13F80DDB" w:rsidR="00D8096B" w:rsidRPr="00B478DE" w:rsidRDefault="00B478DE" w:rsidP="00D8096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1"/>
          <w:szCs w:val="21"/>
        </w:rPr>
      </w:pPr>
      <w:r w:rsidRPr="00B478DE">
        <w:rPr>
          <w:rFonts w:ascii="Calibri" w:hAnsi="Calibri" w:cs="Calibri"/>
          <w:b/>
          <w:bCs/>
          <w:sz w:val="21"/>
          <w:szCs w:val="21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D8096B" w:rsidRPr="00B478DE">
        <w:rPr>
          <w:rFonts w:ascii="Calibri" w:hAnsi="Calibri" w:cs="Calibri"/>
          <w:b/>
          <w:bCs/>
          <w:sz w:val="21"/>
          <w:szCs w:val="21"/>
        </w:rPr>
        <w:t>Condono: quando opera il silenzio assenso</w:t>
      </w:r>
    </w:p>
    <w:p w14:paraId="420BB9E3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6E70E0F" w14:textId="613B935C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Approfondimento d</w:t>
      </w:r>
      <w:r w:rsidR="003A2AC2" w:rsidRPr="00B478DE">
        <w:rPr>
          <w:rFonts w:ascii="Calibri" w:hAnsi="Calibri" w:cs="Calibri"/>
          <w:sz w:val="21"/>
          <w:szCs w:val="21"/>
        </w:rPr>
        <w:t xml:space="preserve">i </w:t>
      </w:r>
      <w:r w:rsidRPr="00B478DE">
        <w:rPr>
          <w:rFonts w:ascii="Calibri" w:hAnsi="Calibri" w:cs="Calibri"/>
          <w:sz w:val="21"/>
          <w:szCs w:val="21"/>
        </w:rPr>
        <w:t>Ance anche nell’ottica di poter beneficiare dei più recenti incentivi fiscali</w:t>
      </w:r>
    </w:p>
    <w:p w14:paraId="7913490F" w14:textId="27731A0B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</w:p>
    <w:p w14:paraId="05BADF68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</w:p>
    <w:p w14:paraId="73E6CF10" w14:textId="459129E1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 xml:space="preserve">La fruizione del Superbonus 110% - previsto dall’art. 119 del </w:t>
      </w:r>
      <w:proofErr w:type="gramStart"/>
      <w:r w:rsidRPr="00B478DE">
        <w:rPr>
          <w:rFonts w:ascii="Calibri" w:hAnsi="Calibri" w:cs="Calibri"/>
          <w:sz w:val="21"/>
          <w:szCs w:val="21"/>
        </w:rPr>
        <w:t xml:space="preserve">Decreto </w:t>
      </w:r>
      <w:r w:rsidR="003A2AC2" w:rsidRPr="00B478DE">
        <w:rPr>
          <w:rFonts w:ascii="Calibri" w:hAnsi="Calibri" w:cs="Calibri"/>
          <w:sz w:val="21"/>
          <w:szCs w:val="21"/>
        </w:rPr>
        <w:t>L</w:t>
      </w:r>
      <w:r w:rsidRPr="00B478DE">
        <w:rPr>
          <w:rFonts w:ascii="Calibri" w:hAnsi="Calibri" w:cs="Calibri"/>
          <w:sz w:val="21"/>
          <w:szCs w:val="21"/>
        </w:rPr>
        <w:t>egge</w:t>
      </w:r>
      <w:proofErr w:type="gramEnd"/>
      <w:r w:rsidRPr="00B478DE">
        <w:rPr>
          <w:rFonts w:ascii="Calibri" w:hAnsi="Calibri" w:cs="Calibri"/>
          <w:sz w:val="21"/>
          <w:szCs w:val="21"/>
        </w:rPr>
        <w:t xml:space="preserve"> 34/2020, come convertito dalla Legge 77/2020 - presuppone la conformità urbanistico-edilizia dell’immobile sul quale si intendono eseguire i relativi interventi. Pertanto</w:t>
      </w:r>
      <w:r w:rsidR="003A2AC2" w:rsidRPr="00B478DE">
        <w:rPr>
          <w:rFonts w:ascii="Calibri" w:hAnsi="Calibri" w:cs="Calibri"/>
          <w:sz w:val="21"/>
          <w:szCs w:val="21"/>
        </w:rPr>
        <w:t>,</w:t>
      </w:r>
      <w:r w:rsidRPr="00B478DE">
        <w:rPr>
          <w:rFonts w:ascii="Calibri" w:hAnsi="Calibri" w:cs="Calibri"/>
          <w:sz w:val="21"/>
          <w:szCs w:val="21"/>
        </w:rPr>
        <w:t xml:space="preserve"> è possibile usufruirne con riferimento a fabbricati legittimi o comunque legittimati attraverso sanatoria ordinaria (art. 36 e 37 Dpr 380/2001 “Testo Unico Edilizia”) o straordinaria (cd. condono edilizio).</w:t>
      </w:r>
    </w:p>
    <w:p w14:paraId="78A29A83" w14:textId="66A3C89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Vi sono però a</w:t>
      </w:r>
      <w:r w:rsidR="003A2AC2" w:rsidRPr="00B478DE">
        <w:rPr>
          <w:rFonts w:ascii="Calibri" w:hAnsi="Calibri" w:cs="Calibri"/>
          <w:sz w:val="21"/>
          <w:szCs w:val="21"/>
        </w:rPr>
        <w:t xml:space="preserve">d </w:t>
      </w:r>
      <w:r w:rsidRPr="00B478DE">
        <w:rPr>
          <w:rFonts w:ascii="Calibri" w:hAnsi="Calibri" w:cs="Calibri"/>
          <w:sz w:val="21"/>
          <w:szCs w:val="21"/>
        </w:rPr>
        <w:t>oggi immobili per i quali è stata presentata domanda di condono ma su cui il comune competente non si è ancora pronunciato. È applicabile il Superbonus fiscale a questi immobili? In particolare, è possibile in questi casi usufruire del silenzio assenso?</w:t>
      </w:r>
    </w:p>
    <w:p w14:paraId="110E7D9E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In linea generale, è necessario attendere il rilascio del provvedimento di sanatoria ordinaria o straordinaria prima di avviare le pratiche per gli interventi agevolati.</w:t>
      </w:r>
    </w:p>
    <w:p w14:paraId="73F5CAC5" w14:textId="345343D0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È possibile però verificare se la regolarizzazione dell’immobile sia avvenuta per formazione del silenzio assenso. Tutti e tre i condoni (1985, 1994 e nel 2003), infatti, hanno previsto la </w:t>
      </w:r>
      <w:r w:rsidRPr="00B478DE">
        <w:rPr>
          <w:rFonts w:ascii="Calibri" w:hAnsi="Calibri" w:cs="Calibri"/>
          <w:b/>
          <w:bCs/>
          <w:sz w:val="21"/>
          <w:szCs w:val="21"/>
        </w:rPr>
        <w:t>possibilità di conseguire la sanatoria per silenzio assenso</w:t>
      </w:r>
      <w:r w:rsidRPr="00B478DE">
        <w:rPr>
          <w:rFonts w:ascii="Calibri" w:hAnsi="Calibri" w:cs="Calibri"/>
          <w:sz w:val="21"/>
          <w:szCs w:val="21"/>
        </w:rPr>
        <w:t> </w:t>
      </w:r>
      <w:r w:rsidRPr="00B478DE">
        <w:rPr>
          <w:rFonts w:ascii="Calibri" w:hAnsi="Calibri" w:cs="Calibri"/>
          <w:b/>
          <w:bCs/>
          <w:sz w:val="21"/>
          <w:szCs w:val="21"/>
        </w:rPr>
        <w:t>decorso un determinato periodo di tempo dalla presentazione della domanda senza che il comune si sia pronunciato</w:t>
      </w:r>
      <w:r w:rsidRPr="00B478DE">
        <w:rPr>
          <w:rFonts w:ascii="Calibri" w:hAnsi="Calibri" w:cs="Calibri"/>
          <w:sz w:val="21"/>
          <w:szCs w:val="21"/>
        </w:rPr>
        <w:t>, e alle condizioni di volta in volta stabilite dalle  rispettive leggi (pagamento dell’oblazione e di altre somme, presentazione della documentazione di volta in volta richiesta a seconda della tipologia di abuso, denuncia al catasto, ecc.). </w:t>
      </w:r>
    </w:p>
    <w:p w14:paraId="3770E67F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b/>
          <w:bCs/>
          <w:sz w:val="21"/>
          <w:szCs w:val="21"/>
        </w:rPr>
        <w:t>In presenza di vincoli sull’immobile abusivo</w:t>
      </w:r>
      <w:r w:rsidRPr="00B478DE">
        <w:rPr>
          <w:rFonts w:ascii="Calibri" w:hAnsi="Calibri" w:cs="Calibri"/>
          <w:sz w:val="21"/>
          <w:szCs w:val="21"/>
        </w:rPr>
        <w:t>, fatti salvi quelli espressamente esclusi dalla sanatoria, l’operatività del silenzio assenso incontra </w:t>
      </w:r>
      <w:r w:rsidRPr="00B478DE">
        <w:rPr>
          <w:rFonts w:ascii="Calibri" w:hAnsi="Calibri" w:cs="Calibri"/>
          <w:b/>
          <w:bCs/>
          <w:sz w:val="21"/>
          <w:szCs w:val="21"/>
        </w:rPr>
        <w:t>l’ulteriore condizione del rilascio del parere favorevole dell’autorità preposta alla relativa tutela</w:t>
      </w:r>
      <w:r w:rsidRPr="00B478DE">
        <w:rPr>
          <w:rFonts w:ascii="Calibri" w:hAnsi="Calibri" w:cs="Calibri"/>
          <w:sz w:val="21"/>
          <w:szCs w:val="21"/>
        </w:rPr>
        <w:t>.</w:t>
      </w:r>
    </w:p>
    <w:p w14:paraId="01476497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</w:p>
    <w:p w14:paraId="2AEAAF27" w14:textId="77777777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La giurisprudenza negli anni si è pronunciata ampiamente sul tema evidenziando tra l’altro che:</w:t>
      </w:r>
    </w:p>
    <w:p w14:paraId="084E2AC9" w14:textId="77777777" w:rsidR="00D8096B" w:rsidRPr="00B478DE" w:rsidRDefault="00D8096B" w:rsidP="00D8096B">
      <w:pPr>
        <w:numPr>
          <w:ilvl w:val="0"/>
          <w:numId w:val="26"/>
        </w:numPr>
        <w:shd w:val="clear" w:color="auto" w:fill="FFFFFF"/>
        <w:ind w:left="795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affinché sulla domanda di condono edilizio possa ritenersi formato il silenzio assenso, </w:t>
      </w:r>
      <w:r w:rsidRPr="00B478DE">
        <w:rPr>
          <w:rFonts w:ascii="Calibri" w:hAnsi="Calibri" w:cs="Calibri"/>
          <w:sz w:val="21"/>
          <w:szCs w:val="21"/>
          <w:u w:val="single"/>
        </w:rPr>
        <w:t>non basta che la documentazione sia completa e sia stata pagata l'oblazione</w:t>
      </w:r>
      <w:r w:rsidRPr="00B478DE">
        <w:rPr>
          <w:rFonts w:ascii="Calibri" w:hAnsi="Calibri" w:cs="Calibri"/>
          <w:sz w:val="21"/>
          <w:szCs w:val="21"/>
        </w:rPr>
        <w:t>, ma è anche </w:t>
      </w:r>
      <w:r w:rsidRPr="00B478DE">
        <w:rPr>
          <w:rFonts w:ascii="Calibri" w:hAnsi="Calibri" w:cs="Calibri"/>
          <w:sz w:val="21"/>
          <w:szCs w:val="21"/>
          <w:u w:val="single"/>
        </w:rPr>
        <w:t>necessario che sussistano tutti i presupposti sostanziali per il condono del manufatto abusivo</w:t>
      </w:r>
      <w:r w:rsidRPr="00B478DE">
        <w:rPr>
          <w:rFonts w:ascii="Calibri" w:hAnsi="Calibri" w:cs="Calibri"/>
          <w:sz w:val="21"/>
          <w:szCs w:val="21"/>
        </w:rPr>
        <w:t> (più di recente T.A.R. Napoli, Campania, sez. III, 05/03/2020, n.1019; T.A.R. Napoli, Campania, sez. III, 04/03/2020, n.1005; T.A.R. Napoli, Campania, sez. III, 27/02/2020, n.901; T.A.R. Milano, Lombardia, sez. II, 03/04/2020, n.588; Consiglio di Stato sez. VI, 07/01/2020, n.98);</w:t>
      </w:r>
    </w:p>
    <w:p w14:paraId="39CC282A" w14:textId="77777777" w:rsidR="00D8096B" w:rsidRPr="00B478DE" w:rsidRDefault="00D8096B" w:rsidP="00D8096B">
      <w:pPr>
        <w:numPr>
          <w:ilvl w:val="0"/>
          <w:numId w:val="26"/>
        </w:numPr>
        <w:shd w:val="clear" w:color="auto" w:fill="FFFFFF"/>
        <w:ind w:left="795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  <w:u w:val="single"/>
        </w:rPr>
        <w:t>la formazione del silenzio - assenso</w:t>
      </w:r>
      <w:r w:rsidRPr="00B478DE">
        <w:rPr>
          <w:rFonts w:ascii="Calibri" w:hAnsi="Calibri" w:cs="Calibri"/>
          <w:sz w:val="21"/>
          <w:szCs w:val="21"/>
        </w:rPr>
        <w:t> (nel termine di 24 mesi dalla presentazione della domanda di sanatoria) </w:t>
      </w:r>
      <w:r w:rsidRPr="00B478DE">
        <w:rPr>
          <w:rFonts w:ascii="Calibri" w:hAnsi="Calibri" w:cs="Calibri"/>
          <w:sz w:val="21"/>
          <w:szCs w:val="21"/>
          <w:u w:val="single"/>
        </w:rPr>
        <w:t>è possibile solo nel caso in cui non si tratti di un caso di insanabilità assoluta</w:t>
      </w:r>
      <w:r w:rsidRPr="00B478DE">
        <w:rPr>
          <w:rFonts w:ascii="Calibri" w:hAnsi="Calibri" w:cs="Calibri"/>
          <w:sz w:val="21"/>
          <w:szCs w:val="21"/>
        </w:rPr>
        <w:t>, di cui all'art. 33 della l. n. 47/1985 (da ultimo T.A.R. Roma, Lazio, sez. II, 07/04/2020, n.3809);</w:t>
      </w:r>
    </w:p>
    <w:p w14:paraId="682DABDC" w14:textId="77777777" w:rsidR="00D8096B" w:rsidRPr="00B478DE" w:rsidRDefault="00D8096B" w:rsidP="00D8096B">
      <w:pPr>
        <w:numPr>
          <w:ilvl w:val="0"/>
          <w:numId w:val="26"/>
        </w:numPr>
        <w:shd w:val="clear" w:color="auto" w:fill="FFFFFF"/>
        <w:ind w:left="795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per l'abuso edilizio realizzato in area soggetta a vincolo (paesaggistico), </w:t>
      </w:r>
      <w:r w:rsidRPr="00B478DE">
        <w:rPr>
          <w:rFonts w:ascii="Calibri" w:hAnsi="Calibri" w:cs="Calibri"/>
          <w:sz w:val="21"/>
          <w:szCs w:val="21"/>
          <w:u w:val="single"/>
        </w:rPr>
        <w:t>il termine di 24 mesi per la formazione del silenzio - assenso sulla domanda di condono può decorrere</w:t>
      </w:r>
      <w:r w:rsidRPr="00B478DE">
        <w:rPr>
          <w:rFonts w:ascii="Calibri" w:hAnsi="Calibri" w:cs="Calibri"/>
          <w:sz w:val="21"/>
          <w:szCs w:val="21"/>
        </w:rPr>
        <w:t>, ex art. 35, comma 19, l. n. 47/1985, </w:t>
      </w:r>
      <w:r w:rsidRPr="00B478DE">
        <w:rPr>
          <w:rFonts w:ascii="Calibri" w:hAnsi="Calibri" w:cs="Calibri"/>
          <w:sz w:val="21"/>
          <w:szCs w:val="21"/>
          <w:u w:val="single"/>
        </w:rPr>
        <w:t>solo dal rilascio del parere favorevole dell'Autorità preposta alla tutela del vincolo stesso</w:t>
      </w:r>
      <w:r w:rsidRPr="00B478DE">
        <w:rPr>
          <w:rFonts w:ascii="Calibri" w:hAnsi="Calibri" w:cs="Calibri"/>
          <w:sz w:val="21"/>
          <w:szCs w:val="21"/>
        </w:rPr>
        <w:t> (T.A.R. Roma, Lazio, sez. II, 09/03/2020, n.3057; Consiglio di Stato sez. II, 07/02/2020, n.983; Consiglio di Stato sez. VI, 10/04/2020, n.2369).</w:t>
      </w:r>
    </w:p>
    <w:p w14:paraId="1E96C43D" w14:textId="77777777" w:rsidR="00447DA0" w:rsidRPr="00B478DE" w:rsidRDefault="00447DA0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</w:p>
    <w:p w14:paraId="3B26FBED" w14:textId="2E2362EC" w:rsidR="00D8096B" w:rsidRPr="00B478DE" w:rsidRDefault="00D8096B" w:rsidP="00D8096B">
      <w:pPr>
        <w:shd w:val="clear" w:color="auto" w:fill="FFFFFF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Peraltro, con riferimento alle ipotesi di immobili abusivi soggetti a vincoli sanabili, si ritiene che – qualora il silenzio assenso non possa operare per mancata richiesta, a suo tempo, del parere all’autorità competente alla gestione del vincolo – l’interessato possa comunque presentare tale richiesta rivolgendosi direttamente all’autorità ovvero chiedendo all’ufficio tecnico comunale di effettuare tale adempimento.</w:t>
      </w:r>
    </w:p>
    <w:p w14:paraId="264A0D04" w14:textId="01E20F73" w:rsidR="00447DA0" w:rsidRDefault="00447DA0" w:rsidP="00D8096B">
      <w:pPr>
        <w:shd w:val="clear" w:color="auto" w:fill="FFFFFF"/>
        <w:ind w:left="142"/>
        <w:jc w:val="both"/>
      </w:pPr>
    </w:p>
    <w:p w14:paraId="58775CB5" w14:textId="762C72DB" w:rsidR="00447DA0" w:rsidRDefault="00447DA0" w:rsidP="00D8096B">
      <w:pPr>
        <w:shd w:val="clear" w:color="auto" w:fill="FFFFFF"/>
        <w:ind w:left="142"/>
        <w:jc w:val="both"/>
      </w:pPr>
    </w:p>
    <w:p w14:paraId="223F2A01" w14:textId="6C3B384F" w:rsidR="00447DA0" w:rsidRDefault="00447DA0" w:rsidP="00D8096B">
      <w:pPr>
        <w:shd w:val="clear" w:color="auto" w:fill="FFFFFF"/>
        <w:ind w:left="142"/>
        <w:jc w:val="both"/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7825"/>
      </w:tblGrid>
      <w:tr w:rsidR="00D8096B" w:rsidRPr="00447DA0" w14:paraId="337AACE1" w14:textId="77777777" w:rsidTr="00D8096B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A02EB1" w14:textId="3E2B1AC4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CONDONO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7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2BF59E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SILENZIO ASSENSO – ASPETTI OPERATIVI E CONDIZIONI</w:t>
            </w:r>
          </w:p>
        </w:tc>
      </w:tr>
      <w:tr w:rsidR="00D8096B" w:rsidRPr="00447DA0" w14:paraId="5349F8D3" w14:textId="77777777" w:rsidTr="00D8096B"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6FE98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1° Condono</w:t>
            </w:r>
          </w:p>
          <w:p w14:paraId="050DBFF3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Art. 35</w:t>
            </w:r>
          </w:p>
          <w:p w14:paraId="63A4AEBA" w14:textId="4EA5C523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Legge 47/1985 (testo originario ante modifiche)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FF1CF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Decorrenza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 24 mesi dalla presentazione della domanda</w:t>
            </w:r>
          </w:p>
          <w:p w14:paraId="277C5CAE" w14:textId="4888AB94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8FC47D0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Condizioni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15BF724" w14:textId="77777777" w:rsidR="00D8096B" w:rsidRPr="00B478DE" w:rsidRDefault="00D8096B" w:rsidP="00D8096B">
            <w:pPr>
              <w:numPr>
                <w:ilvl w:val="0"/>
                <w:numId w:val="27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pagamento di tutte le somme dovute, eventualmente anche a conguaglio,</w:t>
            </w:r>
          </w:p>
          <w:p w14:paraId="3024EE3B" w14:textId="77777777" w:rsidR="00D8096B" w:rsidRPr="00B478DE" w:rsidRDefault="00D8096B" w:rsidP="00D8096B">
            <w:pPr>
              <w:numPr>
                <w:ilvl w:val="0"/>
                <w:numId w:val="27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di tutta la documentazione necessaria (es. relazione descrittiva opere, dichiarazione sullo stato dei lavori, perizia giurata dimensioni e stato opere, certificato idoneità statica, certificato residenza, ecc.);</w:t>
            </w:r>
          </w:p>
          <w:p w14:paraId="13D41239" w14:textId="77777777" w:rsidR="00D8096B" w:rsidRPr="00B478DE" w:rsidRDefault="00D8096B" w:rsidP="00D8096B">
            <w:pPr>
              <w:numPr>
                <w:ilvl w:val="0"/>
                <w:numId w:val="27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domanda accatastamento;</w:t>
            </w:r>
          </w:p>
          <w:p w14:paraId="49CBBE71" w14:textId="77777777" w:rsidR="00D8096B" w:rsidRPr="00B478DE" w:rsidRDefault="00D8096B" w:rsidP="00D8096B">
            <w:pPr>
              <w:numPr>
                <w:ilvl w:val="0"/>
                <w:numId w:val="27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della domanda nell’apposito modello unico predisposto dal Ministero dei lavori pubblici.</w:t>
            </w:r>
          </w:p>
          <w:p w14:paraId="7FEEA6FD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Vincoli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189222A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Il termine per la formazione del silenzio assenso inizia a decorre dall’emissione del parere dell’amministrazione competente alla tutela del vincolo. Qualora il parere non venga reso entro 180 gg, si intende reso in senso negativo.</w:t>
            </w:r>
          </w:p>
          <w:p w14:paraId="43CE1009" w14:textId="14361763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Esclusi - vincoli (imposti dalla legge o dal piano urbanistico) che comportano inedificabilità assoluta qualora imposti prima dell’esecuzione dell’opera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 (es. storici-artistici, paesaggistici, ambientali, idrogeologici, difesa militare, ecc.). </w:t>
            </w:r>
          </w:p>
        </w:tc>
      </w:tr>
      <w:tr w:rsidR="00D8096B" w:rsidRPr="00447DA0" w14:paraId="1F4EF40A" w14:textId="77777777" w:rsidTr="00D8096B"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DB949C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2° Condono</w:t>
            </w:r>
          </w:p>
          <w:p w14:paraId="6008C5CA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Art. 39, comma 4</w:t>
            </w:r>
          </w:p>
          <w:p w14:paraId="3359A182" w14:textId="78C39555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 Legge 724/1994 (testo originario ante modifiche)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5CD0C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Decorrenza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 1 anno o 2 anni a seconda che si tratti di comuni con meno o più di 500.000 abitanti per i comuni con più di 500.000 abitanti, senza l'adozione di un provvedimento negativo del comune</w:t>
            </w:r>
          </w:p>
          <w:p w14:paraId="5DE81083" w14:textId="786074F0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CE528C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Condizioni</w:t>
            </w: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841A059" w14:textId="77777777" w:rsidR="00D8096B" w:rsidRPr="00B478DE" w:rsidRDefault="00D8096B" w:rsidP="00D8096B">
            <w:pPr>
              <w:numPr>
                <w:ilvl w:val="0"/>
                <w:numId w:val="28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pagamento dell'oblazione dovuta e dell’eventuale maggiorazione;</w:t>
            </w:r>
          </w:p>
          <w:p w14:paraId="18B147DB" w14:textId="77777777" w:rsidR="00D8096B" w:rsidRPr="00B478DE" w:rsidRDefault="00D8096B" w:rsidP="00D8096B">
            <w:pPr>
              <w:numPr>
                <w:ilvl w:val="0"/>
                <w:numId w:val="28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pagamento degli oneri di concessione dovuti;</w:t>
            </w:r>
          </w:p>
          <w:p w14:paraId="641E6802" w14:textId="77777777" w:rsidR="00D8096B" w:rsidRPr="00B478DE" w:rsidRDefault="00D8096B" w:rsidP="00D8096B">
            <w:pPr>
              <w:numPr>
                <w:ilvl w:val="0"/>
                <w:numId w:val="28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deposito della documentazione richiesta (documentazione fotografica, certificato idoneità statica, progetto di adeguamento statico, ecc.);</w:t>
            </w:r>
          </w:p>
          <w:p w14:paraId="7D89118E" w14:textId="77777777" w:rsidR="00D8096B" w:rsidRPr="00B478DE" w:rsidRDefault="00D8096B" w:rsidP="00D8096B">
            <w:pPr>
              <w:numPr>
                <w:ilvl w:val="0"/>
                <w:numId w:val="28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denuncia in catasto entro il termine di legge.</w:t>
            </w:r>
          </w:p>
          <w:p w14:paraId="7C1B14BC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Vincoli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D6AB549" w14:textId="25511235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Il termine per la formazione del silenzio assenso inizia a decorre dall’emissione del parere dell’amministrazione competente alla tutela. Qualora il parere non venga reso entro 180 gg, si intende reso in senso negativo. Il parere non è richiesto quando si tratti di violazioni relative all’altezza, i distacchi, la cubatura o la superficie coperta che non eccedano il 2% delle misure prescritte.</w:t>
            </w:r>
          </w:p>
          <w:p w14:paraId="3AD8840F" w14:textId="70083D53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Esclusi - vincoli (imposti dalla legge o dal piano urbanistico) che comportano inedificabilità assoluta, qualora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 </w:t>
            </w: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imposti prima dell’esecuzione dell’opera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 (es. culturali, paesaggistici, ambientali, idrogeologici, difesa militare, cc.). </w:t>
            </w:r>
          </w:p>
        </w:tc>
      </w:tr>
      <w:tr w:rsidR="00D8096B" w:rsidRPr="00447DA0" w14:paraId="66647A9A" w14:textId="77777777" w:rsidTr="00D8096B">
        <w:tc>
          <w:tcPr>
            <w:tcW w:w="1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F4ED23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3° Condono</w:t>
            </w:r>
          </w:p>
          <w:p w14:paraId="49A2B9B7" w14:textId="77777777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Art. 32, comma 37</w:t>
            </w:r>
          </w:p>
          <w:p w14:paraId="7D0F4AA8" w14:textId="77777777" w:rsidR="00D8096B" w:rsidRPr="00B478DE" w:rsidRDefault="00D8096B" w:rsidP="00D8096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gramStart"/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Decreto Legge</w:t>
            </w:r>
            <w:proofErr w:type="gramEnd"/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269/2003, </w:t>
            </w:r>
          </w:p>
          <w:p w14:paraId="6AFE66E9" w14:textId="2FF8F658" w:rsidR="00D8096B" w:rsidRPr="00B478DE" w:rsidRDefault="00D8096B" w:rsidP="00D8096B">
            <w:pPr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i/>
                <w:iCs/>
                <w:sz w:val="20"/>
                <w:szCs w:val="20"/>
              </w:rPr>
              <w:t>conv. Legge 326/2003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BEEA50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Decorrenza</w:t>
            </w:r>
            <w:r w:rsidRPr="00B478DE">
              <w:rPr>
                <w:rFonts w:ascii="Calibri" w:hAnsi="Calibri" w:cs="Calibri"/>
                <w:sz w:val="20"/>
                <w:szCs w:val="20"/>
              </w:rPr>
              <w:t xml:space="preserve">: 24 mesi dalla presentazione della </w:t>
            </w:r>
            <w:proofErr w:type="gramStart"/>
            <w:r w:rsidRPr="00B478DE">
              <w:rPr>
                <w:rFonts w:ascii="Calibri" w:hAnsi="Calibri" w:cs="Calibri"/>
                <w:sz w:val="20"/>
                <w:szCs w:val="20"/>
              </w:rPr>
              <w:t>domanda  senza</w:t>
            </w:r>
            <w:proofErr w:type="gramEnd"/>
            <w:r w:rsidRPr="00B478DE">
              <w:rPr>
                <w:rFonts w:ascii="Calibri" w:hAnsi="Calibri" w:cs="Calibri"/>
                <w:sz w:val="20"/>
                <w:szCs w:val="20"/>
              </w:rPr>
              <w:t>  l'adozione  di  un  provvedimento negativo del comune.</w:t>
            </w:r>
          </w:p>
          <w:p w14:paraId="032FDE9A" w14:textId="4EB0142E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E7B5DC2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Condizioni:</w:t>
            </w:r>
          </w:p>
          <w:p w14:paraId="3DC8D4F0" w14:textId="77777777" w:rsidR="00D8096B" w:rsidRPr="00B478DE" w:rsidRDefault="00D8096B" w:rsidP="00D8096B">
            <w:pPr>
              <w:numPr>
                <w:ilvl w:val="0"/>
                <w:numId w:val="29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pagamento degli oneri concessori;</w:t>
            </w:r>
          </w:p>
          <w:p w14:paraId="5C9DD686" w14:textId="77777777" w:rsidR="00D8096B" w:rsidRPr="00B478DE" w:rsidRDefault="00D8096B" w:rsidP="00D8096B">
            <w:pPr>
              <w:numPr>
                <w:ilvl w:val="0"/>
                <w:numId w:val="29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della documentazione (dichiarazione descrizione dell’opera e stato dei lavori, perizia giurata su stato e dimensioni, certificato idoneità statica, ulteriori documenti prescritti dalla normativa regionale, ecc.); </w:t>
            </w:r>
          </w:p>
          <w:p w14:paraId="2E3BBCA1" w14:textId="77777777" w:rsidR="00D8096B" w:rsidRPr="00B478DE" w:rsidRDefault="00D8096B" w:rsidP="00D8096B">
            <w:pPr>
              <w:numPr>
                <w:ilvl w:val="0"/>
                <w:numId w:val="29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della denuncia in catasto;</w:t>
            </w:r>
          </w:p>
          <w:p w14:paraId="44C0402F" w14:textId="77777777" w:rsidR="00D8096B" w:rsidRPr="00B478DE" w:rsidRDefault="00D8096B" w:rsidP="00D8096B">
            <w:pPr>
              <w:numPr>
                <w:ilvl w:val="0"/>
                <w:numId w:val="29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>presentazione della denuncia ICI;</w:t>
            </w:r>
          </w:p>
          <w:p w14:paraId="1E6B20CB" w14:textId="77777777" w:rsidR="00D8096B" w:rsidRPr="00B478DE" w:rsidRDefault="00D8096B" w:rsidP="00D8096B">
            <w:pPr>
              <w:numPr>
                <w:ilvl w:val="0"/>
                <w:numId w:val="29"/>
              </w:numPr>
              <w:ind w:left="10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</w:rPr>
              <w:t xml:space="preserve">ove dovute, presentazione delle </w:t>
            </w:r>
            <w:proofErr w:type="gramStart"/>
            <w:r w:rsidRPr="00B478DE">
              <w:rPr>
                <w:rFonts w:ascii="Calibri" w:hAnsi="Calibri" w:cs="Calibri"/>
                <w:sz w:val="20"/>
                <w:szCs w:val="20"/>
              </w:rPr>
              <w:t>denunce  Tarsu</w:t>
            </w:r>
            <w:proofErr w:type="gramEnd"/>
            <w:r w:rsidRPr="00B478DE">
              <w:rPr>
                <w:rFonts w:ascii="Calibri" w:hAnsi="Calibri" w:cs="Calibri"/>
                <w:sz w:val="20"/>
                <w:szCs w:val="20"/>
              </w:rPr>
              <w:t xml:space="preserve"> e per  l'occupazione del suolo pubblico, entro il 30 settembre  2004.</w:t>
            </w:r>
          </w:p>
          <w:p w14:paraId="3DAA8A9D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sz w:val="20"/>
                <w:szCs w:val="20"/>
                <w:u w:val="single"/>
              </w:rPr>
              <w:t>Vincoli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2948904" w14:textId="77777777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Per le sole opere insistenti su aree vincolate dopo la loro esecuzione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, la formazione del silenzio assenso è subordinata al parere dell’autorità preposta alla relativa tutela.</w:t>
            </w:r>
          </w:p>
          <w:p w14:paraId="28BC99C9" w14:textId="0E19084F" w:rsidR="00D8096B" w:rsidRPr="00B478DE" w:rsidRDefault="00D8096B" w:rsidP="00D8096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Esclusi 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- </w:t>
            </w: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vincoli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 imposti sulla base </w:t>
            </w:r>
            <w:proofErr w:type="gramStart"/>
            <w:r w:rsidRPr="00B478DE">
              <w:rPr>
                <w:rFonts w:ascii="Calibri" w:hAnsi="Calibri" w:cs="Calibri"/>
                <w:sz w:val="20"/>
                <w:szCs w:val="20"/>
              </w:rPr>
              <w:t>di  leggi</w:t>
            </w:r>
            <w:proofErr w:type="gramEnd"/>
            <w:r w:rsidRPr="00B478DE">
              <w:rPr>
                <w:rFonts w:ascii="Calibri" w:hAnsi="Calibri" w:cs="Calibri"/>
                <w:sz w:val="20"/>
                <w:szCs w:val="20"/>
              </w:rPr>
              <w:t>  statali  e regionali a tutela degli interessi idrogeologici e  delle  falde  acquifere,  dei  beni  ambientali  e paesistici,  nonché  dei  parchi  e  delle  aree protette nazionali, regionali  e  provinciali, </w:t>
            </w:r>
            <w:r w:rsidRPr="00B478DE">
              <w:rPr>
                <w:rFonts w:ascii="Calibri" w:hAnsi="Calibri" w:cs="Calibri"/>
                <w:b/>
                <w:bCs/>
                <w:sz w:val="20"/>
                <w:szCs w:val="20"/>
              </w:rPr>
              <w:t>qualora istituiti prima della esecuzione di dette  opere</w:t>
            </w:r>
            <w:r w:rsidRPr="00B478D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A0C8FE6" w14:textId="77777777" w:rsidR="00447DA0" w:rsidRPr="00B478DE" w:rsidRDefault="00447DA0" w:rsidP="00D8096B">
      <w:pPr>
        <w:pStyle w:val="Paragrafoelenco"/>
        <w:shd w:val="clear" w:color="auto" w:fill="FFFFFF"/>
        <w:spacing w:after="0" w:line="240" w:lineRule="auto"/>
        <w:ind w:left="765"/>
        <w:jc w:val="both"/>
        <w:rPr>
          <w:rFonts w:cs="Calibri"/>
          <w:sz w:val="21"/>
          <w:szCs w:val="21"/>
        </w:rPr>
      </w:pPr>
    </w:p>
    <w:p w14:paraId="559C0EBE" w14:textId="14D95700" w:rsidR="006411DF" w:rsidRPr="00B478DE" w:rsidRDefault="006411DF" w:rsidP="00D8096B">
      <w:pPr>
        <w:pStyle w:val="NormaleWeb"/>
        <w:ind w:left="142"/>
        <w:jc w:val="both"/>
        <w:rPr>
          <w:rStyle w:val="Enfasigrassetto"/>
          <w:rFonts w:ascii="Calibri" w:hAnsi="Calibri" w:cs="Calibri"/>
          <w:sz w:val="21"/>
          <w:szCs w:val="21"/>
        </w:rPr>
      </w:pPr>
      <w:r w:rsidRPr="00B478DE">
        <w:rPr>
          <w:rStyle w:val="Enfasigrassetto"/>
          <w:rFonts w:ascii="Calibri" w:hAnsi="Calibri" w:cs="Calibri"/>
          <w:sz w:val="21"/>
          <w:szCs w:val="21"/>
        </w:rPr>
        <w:t>Riferimenti:</w:t>
      </w:r>
    </w:p>
    <w:p w14:paraId="5EEE77D9" w14:textId="77777777" w:rsidR="006411DF" w:rsidRPr="00B478DE" w:rsidRDefault="006411DF" w:rsidP="00D8096B">
      <w:pPr>
        <w:pStyle w:val="NormaleWeb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>ANCE UMBRIA</w:t>
      </w:r>
    </w:p>
    <w:p w14:paraId="7D78A98D" w14:textId="6B907D09" w:rsidR="006411DF" w:rsidRPr="00B478DE" w:rsidRDefault="006411DF" w:rsidP="00D8096B">
      <w:pPr>
        <w:pStyle w:val="NormaleWeb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 xml:space="preserve">Perugia – </w:t>
      </w:r>
      <w:hyperlink r:id="rId7" w:history="1">
        <w:r w:rsidRPr="00B478DE">
          <w:rPr>
            <w:rStyle w:val="Collegamentoipertestuale"/>
            <w:rFonts w:ascii="Calibri" w:hAnsi="Calibri" w:cs="Calibri"/>
            <w:color w:val="0033CC"/>
            <w:sz w:val="21"/>
            <w:szCs w:val="21"/>
          </w:rPr>
          <w:t>info@anceumbria.it</w:t>
        </w:r>
      </w:hyperlink>
      <w:r w:rsidRPr="00B478DE">
        <w:rPr>
          <w:rFonts w:ascii="Calibri" w:hAnsi="Calibri" w:cs="Calibri"/>
          <w:sz w:val="21"/>
          <w:szCs w:val="21"/>
        </w:rPr>
        <w:t xml:space="preserve"> - Tel. 075/582751</w:t>
      </w:r>
    </w:p>
    <w:p w14:paraId="6A9803D9" w14:textId="2E31FD9A" w:rsidR="007930A8" w:rsidRPr="00B478DE" w:rsidRDefault="006411DF" w:rsidP="00447DA0">
      <w:pPr>
        <w:pStyle w:val="NormaleWeb"/>
        <w:ind w:left="142"/>
        <w:jc w:val="both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 xml:space="preserve">Terni - </w:t>
      </w:r>
      <w:hyperlink r:id="rId8" w:history="1">
        <w:r w:rsidRPr="00B478DE">
          <w:rPr>
            <w:rStyle w:val="Collegamentoipertestuale"/>
            <w:rFonts w:ascii="Calibri" w:hAnsi="Calibri" w:cs="Calibri"/>
            <w:color w:val="0033CC"/>
            <w:sz w:val="21"/>
            <w:szCs w:val="21"/>
          </w:rPr>
          <w:t>edilizia@confindustria.terni.it</w:t>
        </w:r>
      </w:hyperlink>
      <w:r w:rsidRPr="00B478DE">
        <w:rPr>
          <w:rFonts w:ascii="Calibri" w:hAnsi="Calibri" w:cs="Calibri"/>
          <w:sz w:val="21"/>
          <w:szCs w:val="21"/>
        </w:rPr>
        <w:t xml:space="preserve"> - Tel. 0744/443411</w:t>
      </w:r>
    </w:p>
    <w:p w14:paraId="7FBCA73E" w14:textId="4858A057" w:rsidR="00783E6E" w:rsidRPr="00B478DE" w:rsidRDefault="00952E48" w:rsidP="00D809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1"/>
          <w:szCs w:val="21"/>
        </w:rPr>
      </w:pPr>
      <w:r w:rsidRPr="00B478DE">
        <w:rPr>
          <w:rFonts w:ascii="Calibri" w:hAnsi="Calibri" w:cs="Calibri"/>
          <w:sz w:val="21"/>
          <w:szCs w:val="21"/>
        </w:rPr>
        <w:t xml:space="preserve">Pubblicato il </w:t>
      </w:r>
      <w:r w:rsidR="00052F25" w:rsidRPr="00B478DE">
        <w:rPr>
          <w:rFonts w:ascii="Calibri" w:hAnsi="Calibri" w:cs="Calibri"/>
          <w:sz w:val="21"/>
          <w:szCs w:val="21"/>
        </w:rPr>
        <w:t>1</w:t>
      </w:r>
      <w:r w:rsidR="003A2AC2" w:rsidRPr="00B478DE">
        <w:rPr>
          <w:rFonts w:ascii="Calibri" w:hAnsi="Calibri" w:cs="Calibri"/>
          <w:sz w:val="21"/>
          <w:szCs w:val="21"/>
        </w:rPr>
        <w:t>4</w:t>
      </w:r>
      <w:r w:rsidR="00FD4966" w:rsidRPr="00B478DE">
        <w:rPr>
          <w:rFonts w:ascii="Calibri" w:hAnsi="Calibri" w:cs="Calibri"/>
          <w:sz w:val="21"/>
          <w:szCs w:val="21"/>
        </w:rPr>
        <w:t>/0</w:t>
      </w:r>
      <w:r w:rsidR="009C2025" w:rsidRPr="00B478DE">
        <w:rPr>
          <w:rFonts w:ascii="Calibri" w:hAnsi="Calibri" w:cs="Calibri"/>
          <w:sz w:val="21"/>
          <w:szCs w:val="21"/>
        </w:rPr>
        <w:t>9</w:t>
      </w:r>
      <w:r w:rsidR="00297F87" w:rsidRPr="00B478DE">
        <w:rPr>
          <w:rFonts w:ascii="Calibri" w:hAnsi="Calibri" w:cs="Calibri"/>
          <w:sz w:val="21"/>
          <w:szCs w:val="21"/>
        </w:rPr>
        <w:t>/2020</w:t>
      </w:r>
    </w:p>
    <w:sectPr w:rsidR="00783E6E" w:rsidRPr="00B478DE" w:rsidSect="00447DA0">
      <w:headerReference w:type="first" r:id="rId9"/>
      <w:footerReference w:type="first" r:id="rId10"/>
      <w:type w:val="continuous"/>
      <w:pgSz w:w="11906" w:h="16838" w:code="9"/>
      <w:pgMar w:top="993" w:right="1134" w:bottom="284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BBA37" w14:textId="77777777" w:rsidR="00B478DE" w:rsidRDefault="00B478DE">
      <w:r>
        <w:separator/>
      </w:r>
    </w:p>
  </w:endnote>
  <w:endnote w:type="continuationSeparator" w:id="0">
    <w:p w14:paraId="486CDA87" w14:textId="77777777" w:rsidR="00B478DE" w:rsidRDefault="00B4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6E9D" w14:textId="77777777" w:rsidR="00B478DE" w:rsidRDefault="00B478DE">
      <w:r>
        <w:separator/>
      </w:r>
    </w:p>
  </w:footnote>
  <w:footnote w:type="continuationSeparator" w:id="0">
    <w:p w14:paraId="79C11949" w14:textId="77777777" w:rsidR="00B478DE" w:rsidRDefault="00B4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B478DE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quila" style="width:40.7pt;height:38.8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3D1"/>
    <w:multiLevelType w:val="multilevel"/>
    <w:tmpl w:val="470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A91"/>
    <w:multiLevelType w:val="hybridMultilevel"/>
    <w:tmpl w:val="9B78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B17"/>
    <w:multiLevelType w:val="hybridMultilevel"/>
    <w:tmpl w:val="CBC029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7029D9"/>
    <w:multiLevelType w:val="hybridMultilevel"/>
    <w:tmpl w:val="55B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4CF"/>
    <w:multiLevelType w:val="hybridMultilevel"/>
    <w:tmpl w:val="DC4C127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7FDA"/>
    <w:multiLevelType w:val="multilevel"/>
    <w:tmpl w:val="50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F37CA"/>
    <w:multiLevelType w:val="hybridMultilevel"/>
    <w:tmpl w:val="ACA4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329"/>
    <w:multiLevelType w:val="multilevel"/>
    <w:tmpl w:val="BCB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97B"/>
    <w:multiLevelType w:val="hybridMultilevel"/>
    <w:tmpl w:val="0DC6C4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E20488F"/>
    <w:multiLevelType w:val="multilevel"/>
    <w:tmpl w:val="A38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0508E"/>
    <w:multiLevelType w:val="multilevel"/>
    <w:tmpl w:val="3A1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A4982"/>
    <w:multiLevelType w:val="multilevel"/>
    <w:tmpl w:val="82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F16C87"/>
    <w:multiLevelType w:val="hybridMultilevel"/>
    <w:tmpl w:val="8F5A164A"/>
    <w:lvl w:ilvl="0" w:tplc="529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792179"/>
    <w:multiLevelType w:val="hybridMultilevel"/>
    <w:tmpl w:val="208A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A0B7B"/>
    <w:multiLevelType w:val="multilevel"/>
    <w:tmpl w:val="239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653BB"/>
    <w:multiLevelType w:val="multilevel"/>
    <w:tmpl w:val="D3C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81D29"/>
    <w:multiLevelType w:val="multilevel"/>
    <w:tmpl w:val="EF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A60AC7"/>
    <w:multiLevelType w:val="multilevel"/>
    <w:tmpl w:val="6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3055B"/>
    <w:multiLevelType w:val="multilevel"/>
    <w:tmpl w:val="564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B3BBF"/>
    <w:multiLevelType w:val="multilevel"/>
    <w:tmpl w:val="7F7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93450"/>
    <w:multiLevelType w:val="multilevel"/>
    <w:tmpl w:val="3D30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C7BC6"/>
    <w:multiLevelType w:val="hybridMultilevel"/>
    <w:tmpl w:val="15A02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2E2F"/>
    <w:multiLevelType w:val="hybridMultilevel"/>
    <w:tmpl w:val="0EF0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5"/>
  </w:num>
  <w:num w:numId="5">
    <w:abstractNumId w:val="24"/>
  </w:num>
  <w:num w:numId="6">
    <w:abstractNumId w:val="1"/>
  </w:num>
  <w:num w:numId="7">
    <w:abstractNumId w:val="28"/>
  </w:num>
  <w:num w:numId="8">
    <w:abstractNumId w:val="15"/>
  </w:num>
  <w:num w:numId="9">
    <w:abstractNumId w:val="21"/>
  </w:num>
  <w:num w:numId="10">
    <w:abstractNumId w:val="26"/>
  </w:num>
  <w:num w:numId="11">
    <w:abstractNumId w:val="19"/>
  </w:num>
  <w:num w:numId="12">
    <w:abstractNumId w:val="6"/>
  </w:num>
  <w:num w:numId="13">
    <w:abstractNumId w:val="7"/>
  </w:num>
  <w:num w:numId="14">
    <w:abstractNumId w:val="23"/>
  </w:num>
  <w:num w:numId="15">
    <w:abstractNumId w:val="8"/>
  </w:num>
  <w:num w:numId="16">
    <w:abstractNumId w:val="20"/>
  </w:num>
  <w:num w:numId="17">
    <w:abstractNumId w:val="12"/>
  </w:num>
  <w:num w:numId="18">
    <w:abstractNumId w:val="14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5"/>
  </w:num>
  <w:num w:numId="24">
    <w:abstractNumId w:val="17"/>
  </w:num>
  <w:num w:numId="25">
    <w:abstractNumId w:val="3"/>
  </w:num>
  <w:num w:numId="26">
    <w:abstractNumId w:val="0"/>
  </w:num>
  <w:num w:numId="27">
    <w:abstractNumId w:val="22"/>
  </w:num>
  <w:num w:numId="28">
    <w:abstractNumId w:val="18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2F25"/>
    <w:rsid w:val="000539CB"/>
    <w:rsid w:val="00053A2C"/>
    <w:rsid w:val="000614F9"/>
    <w:rsid w:val="000625BE"/>
    <w:rsid w:val="000637F2"/>
    <w:rsid w:val="000703BF"/>
    <w:rsid w:val="0007297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D6C34"/>
    <w:rsid w:val="000E38C9"/>
    <w:rsid w:val="000E5710"/>
    <w:rsid w:val="000E6DB1"/>
    <w:rsid w:val="0010566D"/>
    <w:rsid w:val="00117DE3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5E47"/>
    <w:rsid w:val="002B7EEB"/>
    <w:rsid w:val="002D246E"/>
    <w:rsid w:val="002D2B28"/>
    <w:rsid w:val="002E4047"/>
    <w:rsid w:val="002F44A9"/>
    <w:rsid w:val="00300CDB"/>
    <w:rsid w:val="00306EA7"/>
    <w:rsid w:val="003114C4"/>
    <w:rsid w:val="00315031"/>
    <w:rsid w:val="00315091"/>
    <w:rsid w:val="00322EE8"/>
    <w:rsid w:val="00326815"/>
    <w:rsid w:val="003347DC"/>
    <w:rsid w:val="003361DA"/>
    <w:rsid w:val="0034265F"/>
    <w:rsid w:val="00344B54"/>
    <w:rsid w:val="00363BF8"/>
    <w:rsid w:val="003646F3"/>
    <w:rsid w:val="003702D1"/>
    <w:rsid w:val="00371573"/>
    <w:rsid w:val="003721E0"/>
    <w:rsid w:val="00385BAE"/>
    <w:rsid w:val="003944BF"/>
    <w:rsid w:val="00395392"/>
    <w:rsid w:val="003A2AC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17C79"/>
    <w:rsid w:val="0042052A"/>
    <w:rsid w:val="004353E3"/>
    <w:rsid w:val="004435C3"/>
    <w:rsid w:val="00447DA0"/>
    <w:rsid w:val="00454209"/>
    <w:rsid w:val="00462395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76B5"/>
    <w:rsid w:val="0053112D"/>
    <w:rsid w:val="00531CA4"/>
    <w:rsid w:val="00532542"/>
    <w:rsid w:val="00534E4E"/>
    <w:rsid w:val="00546306"/>
    <w:rsid w:val="00551BCE"/>
    <w:rsid w:val="005615FE"/>
    <w:rsid w:val="00565BA4"/>
    <w:rsid w:val="00570DF9"/>
    <w:rsid w:val="00571AA5"/>
    <w:rsid w:val="00572355"/>
    <w:rsid w:val="00572EC8"/>
    <w:rsid w:val="00580492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03F2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1697A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0739"/>
    <w:rsid w:val="00754C9D"/>
    <w:rsid w:val="0075722D"/>
    <w:rsid w:val="00760A45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A514A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5090E"/>
    <w:rsid w:val="008617BD"/>
    <w:rsid w:val="00876261"/>
    <w:rsid w:val="0089242A"/>
    <w:rsid w:val="00895D5A"/>
    <w:rsid w:val="008B3432"/>
    <w:rsid w:val="008B5620"/>
    <w:rsid w:val="008C21F3"/>
    <w:rsid w:val="008C6FB9"/>
    <w:rsid w:val="008E4D83"/>
    <w:rsid w:val="008E602C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25"/>
    <w:rsid w:val="009C20B0"/>
    <w:rsid w:val="009C5511"/>
    <w:rsid w:val="009C66FF"/>
    <w:rsid w:val="009D0AE2"/>
    <w:rsid w:val="009D26C3"/>
    <w:rsid w:val="009D42AF"/>
    <w:rsid w:val="009D58A8"/>
    <w:rsid w:val="009D6A94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4EC6"/>
    <w:rsid w:val="00B478DE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5394A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909"/>
    <w:rsid w:val="00CC42BA"/>
    <w:rsid w:val="00CD2F0A"/>
    <w:rsid w:val="00CD4A8E"/>
    <w:rsid w:val="00CE5F79"/>
    <w:rsid w:val="00CF1412"/>
    <w:rsid w:val="00CF6D2A"/>
    <w:rsid w:val="00D05B8F"/>
    <w:rsid w:val="00D06063"/>
    <w:rsid w:val="00D102CD"/>
    <w:rsid w:val="00D12686"/>
    <w:rsid w:val="00D12E1E"/>
    <w:rsid w:val="00D13CAB"/>
    <w:rsid w:val="00D2250C"/>
    <w:rsid w:val="00D2305A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8096B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11</TotalTime>
  <Pages>2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7624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5</cp:revision>
  <cp:lastPrinted>2019-02-27T17:41:00Z</cp:lastPrinted>
  <dcterms:created xsi:type="dcterms:W3CDTF">2020-09-11T15:18:00Z</dcterms:created>
  <dcterms:modified xsi:type="dcterms:W3CDTF">2020-09-14T07:40:00Z</dcterms:modified>
</cp:coreProperties>
</file>