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29B18" w14:textId="09283D84" w:rsidR="00052F25" w:rsidRPr="00C21EE9" w:rsidRDefault="00CC2153" w:rsidP="00052F25">
      <w:pPr>
        <w:shd w:val="clear" w:color="auto" w:fill="FFFFFF"/>
        <w:ind w:left="142"/>
        <w:jc w:val="both"/>
        <w:rPr>
          <w:rFonts w:ascii="Calibri" w:hAnsi="Calibri" w:cs="Calibri"/>
          <w:b/>
          <w:bCs/>
          <w:sz w:val="21"/>
          <w:szCs w:val="21"/>
        </w:rPr>
      </w:pPr>
      <w:r>
        <w:rPr>
          <w:rFonts w:ascii="Calibri" w:hAnsi="Calibri" w:cs="Calibri"/>
          <w:b/>
          <w:bCs/>
          <w:sz w:val="21"/>
          <w:szCs w:val="21"/>
        </w:rPr>
        <w:pict w14:anchorId="036903AB">
          <v:shape id="Segno di sottrazione 5" o:spid="_x0000_s1026" style="position:absolute;left:0;text-align:left;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052F25" w:rsidRPr="00C21EE9">
        <w:rPr>
          <w:rFonts w:ascii="Calibri" w:hAnsi="Calibri" w:cs="Calibri"/>
          <w:b/>
          <w:bCs/>
          <w:sz w:val="21"/>
          <w:szCs w:val="21"/>
        </w:rPr>
        <w:t xml:space="preserve">DL </w:t>
      </w:r>
      <w:r w:rsidR="00E57F9D" w:rsidRPr="00C21EE9">
        <w:rPr>
          <w:rFonts w:ascii="Calibri" w:hAnsi="Calibri" w:cs="Calibri"/>
          <w:b/>
          <w:bCs/>
          <w:sz w:val="21"/>
          <w:szCs w:val="21"/>
        </w:rPr>
        <w:t>S</w:t>
      </w:r>
      <w:r w:rsidR="00052F25" w:rsidRPr="00C21EE9">
        <w:rPr>
          <w:rFonts w:ascii="Calibri" w:hAnsi="Calibri" w:cs="Calibri"/>
          <w:b/>
          <w:bCs/>
          <w:sz w:val="21"/>
          <w:szCs w:val="21"/>
        </w:rPr>
        <w:t xml:space="preserve">emplificazioni: </w:t>
      </w:r>
      <w:r w:rsidR="00E57F9D" w:rsidRPr="00C21EE9">
        <w:rPr>
          <w:rFonts w:ascii="Calibri" w:hAnsi="Calibri" w:cs="Calibri"/>
          <w:b/>
          <w:bCs/>
          <w:sz w:val="21"/>
          <w:szCs w:val="21"/>
        </w:rPr>
        <w:t>via libera alla</w:t>
      </w:r>
      <w:r w:rsidR="00052F25" w:rsidRPr="00C21EE9">
        <w:rPr>
          <w:rFonts w:ascii="Calibri" w:hAnsi="Calibri" w:cs="Calibri"/>
          <w:b/>
          <w:bCs/>
          <w:sz w:val="21"/>
          <w:szCs w:val="21"/>
        </w:rPr>
        <w:t xml:space="preserve"> Camera</w:t>
      </w:r>
      <w:r w:rsidR="00E57F9D" w:rsidRPr="00C21EE9">
        <w:rPr>
          <w:rFonts w:ascii="Calibri" w:hAnsi="Calibri" w:cs="Calibri"/>
          <w:b/>
          <w:bCs/>
          <w:sz w:val="21"/>
          <w:szCs w:val="21"/>
        </w:rPr>
        <w:t>. Confermate alcune modifiche richieste da Ance</w:t>
      </w:r>
    </w:p>
    <w:p w14:paraId="2CC4A2EA" w14:textId="77777777" w:rsidR="00052F25" w:rsidRPr="00C21EE9" w:rsidRDefault="00052F25" w:rsidP="00052F25">
      <w:pPr>
        <w:shd w:val="clear" w:color="auto" w:fill="FFFFFF"/>
        <w:ind w:left="142"/>
        <w:jc w:val="both"/>
        <w:rPr>
          <w:rFonts w:ascii="Calibri" w:hAnsi="Calibri" w:cs="Calibri"/>
          <w:b/>
          <w:bCs/>
          <w:sz w:val="21"/>
          <w:szCs w:val="21"/>
        </w:rPr>
      </w:pPr>
    </w:p>
    <w:p w14:paraId="0EAAB185" w14:textId="5AA41F19" w:rsidR="00052F25" w:rsidRPr="00C21EE9" w:rsidRDefault="003A5334" w:rsidP="00052F25">
      <w:pPr>
        <w:shd w:val="clear" w:color="auto" w:fill="FFFFFF"/>
        <w:ind w:left="142"/>
        <w:jc w:val="both"/>
        <w:rPr>
          <w:rFonts w:ascii="Calibri" w:hAnsi="Calibri" w:cs="Calibri"/>
          <w:sz w:val="21"/>
          <w:szCs w:val="21"/>
          <w:shd w:val="clear" w:color="auto" w:fill="FFFFFF"/>
        </w:rPr>
      </w:pPr>
      <w:r>
        <w:rPr>
          <w:rFonts w:ascii="Calibri" w:hAnsi="Calibri" w:cs="Calibri"/>
          <w:sz w:val="21"/>
          <w:szCs w:val="21"/>
          <w:shd w:val="clear" w:color="auto" w:fill="FFFFFF"/>
        </w:rPr>
        <w:t>Aggiornamenti da ANCE</w:t>
      </w:r>
    </w:p>
    <w:p w14:paraId="4568EBDF" w14:textId="6549CC89" w:rsidR="00052F25" w:rsidRPr="00C21EE9" w:rsidRDefault="00052F25" w:rsidP="00052F25">
      <w:pPr>
        <w:shd w:val="clear" w:color="auto" w:fill="FFFFFF"/>
        <w:jc w:val="both"/>
        <w:rPr>
          <w:rFonts w:ascii="Calibri" w:hAnsi="Calibri" w:cs="Calibri"/>
          <w:b/>
          <w:bCs/>
          <w:sz w:val="21"/>
          <w:szCs w:val="21"/>
        </w:rPr>
      </w:pPr>
    </w:p>
    <w:p w14:paraId="5B3884F3" w14:textId="77777777" w:rsidR="00052F25" w:rsidRPr="00C21EE9" w:rsidRDefault="00052F25" w:rsidP="00052F25">
      <w:pPr>
        <w:shd w:val="clear" w:color="auto" w:fill="FFFFFF"/>
        <w:ind w:left="142"/>
        <w:jc w:val="both"/>
        <w:rPr>
          <w:rFonts w:ascii="Calibri" w:hAnsi="Calibri" w:cs="Calibri"/>
          <w:b/>
          <w:bCs/>
          <w:sz w:val="21"/>
          <w:szCs w:val="21"/>
        </w:rPr>
      </w:pPr>
    </w:p>
    <w:p w14:paraId="652D9876" w14:textId="67CCAE18" w:rsidR="00052F25" w:rsidRPr="00C21EE9" w:rsidRDefault="00052F25" w:rsidP="00052F25">
      <w:pPr>
        <w:shd w:val="clear" w:color="auto" w:fill="FFFFFF"/>
        <w:ind w:left="142"/>
        <w:jc w:val="both"/>
        <w:rPr>
          <w:rFonts w:ascii="Calibri" w:hAnsi="Calibri" w:cs="Calibri"/>
          <w:sz w:val="21"/>
          <w:szCs w:val="21"/>
        </w:rPr>
      </w:pPr>
      <w:r w:rsidRPr="00C21EE9">
        <w:rPr>
          <w:rFonts w:ascii="Calibri" w:hAnsi="Calibri" w:cs="Calibri"/>
          <w:sz w:val="21"/>
          <w:szCs w:val="21"/>
        </w:rPr>
        <w:t xml:space="preserve">L’Aula della Camera ha approvato definitivamente, con la seconda votazione di fiducia, il disegno di legge di conversione del </w:t>
      </w:r>
      <w:r w:rsidRPr="00C21EE9">
        <w:rPr>
          <w:rFonts w:ascii="Calibri" w:hAnsi="Calibri" w:cs="Calibri"/>
          <w:b/>
          <w:bCs/>
          <w:sz w:val="21"/>
          <w:szCs w:val="21"/>
        </w:rPr>
        <w:t>DL 76/2020</w:t>
      </w:r>
      <w:r w:rsidRPr="00C21EE9">
        <w:rPr>
          <w:rFonts w:ascii="Calibri" w:hAnsi="Calibri" w:cs="Calibri"/>
          <w:sz w:val="21"/>
          <w:szCs w:val="21"/>
        </w:rPr>
        <w:t xml:space="preserve"> “Misure urgenti per la semplificazione e l'innovazione digitale” (</w:t>
      </w:r>
      <w:hyperlink r:id="rId7" w:history="1">
        <w:r w:rsidRPr="00C21EE9">
          <w:rPr>
            <w:rFonts w:ascii="Calibri" w:hAnsi="Calibri" w:cs="Calibri"/>
            <w:color w:val="0000FF"/>
            <w:sz w:val="21"/>
            <w:szCs w:val="21"/>
            <w:u w:val="single"/>
          </w:rPr>
          <w:t>DDL 2648/C</w:t>
        </w:r>
      </w:hyperlink>
      <w:r w:rsidR="00E57F9D" w:rsidRPr="00C21EE9">
        <w:rPr>
          <w:rFonts w:ascii="Calibri" w:hAnsi="Calibri" w:cs="Calibri"/>
          <w:color w:val="0000FF"/>
          <w:sz w:val="21"/>
          <w:szCs w:val="21"/>
          <w:u w:val="single"/>
        </w:rPr>
        <w:t xml:space="preserve"> </w:t>
      </w:r>
      <w:r w:rsidRPr="00C21EE9">
        <w:rPr>
          <w:rFonts w:ascii="Calibri" w:hAnsi="Calibri" w:cs="Calibri"/>
          <w:sz w:val="21"/>
          <w:szCs w:val="21"/>
        </w:rPr>
        <w:t>– Relatori l’On. Vittoria Baldino del Gruppo parlamentare M5S e l’On. Umberto Buratti del Gruppo parlamentare PD),  nel testo trasmesso dal Senato.</w:t>
      </w:r>
    </w:p>
    <w:p w14:paraId="213EC787" w14:textId="60D1F65D" w:rsidR="00052F25" w:rsidRPr="00C21EE9" w:rsidRDefault="00052F25" w:rsidP="00052F25">
      <w:pPr>
        <w:shd w:val="clear" w:color="auto" w:fill="FFFFFF"/>
        <w:ind w:left="142"/>
        <w:jc w:val="both"/>
        <w:rPr>
          <w:rFonts w:ascii="Calibri" w:hAnsi="Calibri" w:cs="Calibri"/>
          <w:sz w:val="21"/>
          <w:szCs w:val="21"/>
        </w:rPr>
      </w:pPr>
      <w:r w:rsidRPr="00C21EE9">
        <w:rPr>
          <w:rFonts w:ascii="Calibri" w:hAnsi="Calibri" w:cs="Calibri"/>
          <w:sz w:val="21"/>
          <w:szCs w:val="21"/>
        </w:rPr>
        <w:t>Tra le norme confermate, alcune delle modifiche </w:t>
      </w:r>
      <w:r w:rsidRPr="00C21EE9">
        <w:rPr>
          <w:rFonts w:ascii="Calibri" w:hAnsi="Calibri" w:cs="Calibri"/>
          <w:b/>
          <w:bCs/>
          <w:sz w:val="21"/>
          <w:szCs w:val="21"/>
        </w:rPr>
        <w:t>richieste e auspicate dall’ANCE nel corso della propria audizione,</w:t>
      </w:r>
      <w:r w:rsidRPr="00C21EE9">
        <w:rPr>
          <w:rFonts w:ascii="Calibri" w:hAnsi="Calibri" w:cs="Calibri"/>
          <w:sz w:val="21"/>
          <w:szCs w:val="21"/>
        </w:rPr>
        <w:t xml:space="preserve"> concernenti in particolare:</w:t>
      </w:r>
    </w:p>
    <w:p w14:paraId="007945A9" w14:textId="77777777" w:rsidR="00052F25" w:rsidRPr="00C21EE9" w:rsidRDefault="00052F25" w:rsidP="00052F25">
      <w:pPr>
        <w:shd w:val="clear" w:color="auto" w:fill="FFFFFF"/>
        <w:ind w:left="142"/>
        <w:jc w:val="both"/>
        <w:rPr>
          <w:rFonts w:ascii="Calibri" w:hAnsi="Calibri" w:cs="Calibri"/>
          <w:sz w:val="21"/>
          <w:szCs w:val="21"/>
        </w:rPr>
      </w:pPr>
    </w:p>
    <w:p w14:paraId="4772200A" w14:textId="3C586AF1" w:rsidR="00052F25" w:rsidRPr="00C21EE9" w:rsidRDefault="00052F25" w:rsidP="00052F25">
      <w:pPr>
        <w:pStyle w:val="Paragrafoelenco"/>
        <w:numPr>
          <w:ilvl w:val="0"/>
          <w:numId w:val="25"/>
        </w:numPr>
        <w:shd w:val="clear" w:color="auto" w:fill="FFFFFF"/>
        <w:spacing w:after="0" w:line="240" w:lineRule="auto"/>
        <w:ind w:left="709"/>
        <w:jc w:val="both"/>
        <w:rPr>
          <w:rFonts w:eastAsia="Times New Roman" w:cs="Calibri"/>
          <w:sz w:val="21"/>
          <w:szCs w:val="21"/>
          <w:lang w:eastAsia="it-IT"/>
        </w:rPr>
      </w:pPr>
      <w:r w:rsidRPr="00C21EE9">
        <w:rPr>
          <w:rFonts w:eastAsia="Times New Roman" w:cs="Calibri"/>
          <w:sz w:val="21"/>
          <w:szCs w:val="21"/>
          <w:lang w:eastAsia="it-IT"/>
        </w:rPr>
        <w:t>la </w:t>
      </w:r>
      <w:r w:rsidRPr="00C21EE9">
        <w:rPr>
          <w:rFonts w:eastAsia="Times New Roman" w:cs="Calibri"/>
          <w:b/>
          <w:bCs/>
          <w:sz w:val="21"/>
          <w:szCs w:val="21"/>
          <w:lang w:eastAsia="it-IT"/>
        </w:rPr>
        <w:t>proroga di tre anni del termine di validità nonché dei termini di inizio e fine lavori previsti dalle convenzioni di lottizzazione</w:t>
      </w:r>
      <w:r w:rsidRPr="00C21EE9">
        <w:rPr>
          <w:rFonts w:eastAsia="Times New Roman" w:cs="Calibri"/>
          <w:sz w:val="21"/>
          <w:szCs w:val="21"/>
          <w:lang w:eastAsia="it-IT"/>
        </w:rPr>
        <w:t>, di cui all’art. 28 della L 1150/1942, ovvero dagli accordi similari comunque denominati dalla legislazione regionale, nonché i termini dei relativi piani attuativi e di qualunque altro atto ad essi propedeutico, formatisi al 31 dicembre 2020. Viene prevista espressamente l’applicazione della norma anche ai diversi termini delle convenzioni di lottizzazione, accordi similari e piani attuativi che abbiano usufruito della proroga di cui all'articolo 30, comma 3-</w:t>
      </w:r>
      <w:r w:rsidRPr="00C21EE9">
        <w:rPr>
          <w:rFonts w:eastAsia="Times New Roman" w:cs="Calibri"/>
          <w:i/>
          <w:iCs/>
          <w:sz w:val="21"/>
          <w:szCs w:val="21"/>
          <w:lang w:eastAsia="it-IT"/>
        </w:rPr>
        <w:t>bis</w:t>
      </w:r>
      <w:r w:rsidRPr="00C21EE9">
        <w:rPr>
          <w:rFonts w:eastAsia="Times New Roman" w:cs="Calibri"/>
          <w:sz w:val="21"/>
          <w:szCs w:val="21"/>
          <w:lang w:eastAsia="it-IT"/>
        </w:rPr>
        <w:t>, del DL 69/2013, convertito dalla legge 98/2013 (DL “Fare”);</w:t>
      </w:r>
    </w:p>
    <w:p w14:paraId="0043E998" w14:textId="77777777" w:rsidR="00052F25" w:rsidRPr="00C21EE9" w:rsidRDefault="00052F25" w:rsidP="00052F25">
      <w:pPr>
        <w:pStyle w:val="Paragrafoelenco"/>
        <w:numPr>
          <w:ilvl w:val="0"/>
          <w:numId w:val="25"/>
        </w:numPr>
        <w:shd w:val="clear" w:color="auto" w:fill="FFFFFF"/>
        <w:spacing w:after="0" w:line="240" w:lineRule="auto"/>
        <w:ind w:left="709"/>
        <w:jc w:val="both"/>
        <w:rPr>
          <w:rFonts w:eastAsia="Times New Roman" w:cs="Calibri"/>
          <w:sz w:val="21"/>
          <w:szCs w:val="21"/>
          <w:lang w:eastAsia="it-IT"/>
        </w:rPr>
      </w:pPr>
      <w:r w:rsidRPr="00C21EE9">
        <w:rPr>
          <w:rFonts w:eastAsia="Times New Roman" w:cs="Calibri"/>
          <w:sz w:val="21"/>
          <w:szCs w:val="21"/>
          <w:lang w:eastAsia="it-IT"/>
        </w:rPr>
        <w:t>l’introduzione dell’</w:t>
      </w:r>
      <w:r w:rsidRPr="00C21EE9">
        <w:rPr>
          <w:rFonts w:eastAsia="Times New Roman" w:cs="Calibri"/>
          <w:b/>
          <w:bCs/>
          <w:sz w:val="21"/>
          <w:szCs w:val="21"/>
          <w:lang w:eastAsia="it-IT"/>
        </w:rPr>
        <w:t xml:space="preserve">obbligo di pubblicazione dell’avviso di indizione della gara per i contratti sotto e sopra soglia </w:t>
      </w:r>
      <w:r w:rsidRPr="00C21EE9">
        <w:rPr>
          <w:rFonts w:eastAsia="Times New Roman" w:cs="Calibri"/>
          <w:sz w:val="21"/>
          <w:szCs w:val="21"/>
          <w:lang w:eastAsia="it-IT"/>
        </w:rPr>
        <w:t xml:space="preserve">nonché specificate le modalità della </w:t>
      </w:r>
      <w:r w:rsidRPr="00C21EE9">
        <w:rPr>
          <w:rFonts w:eastAsia="Times New Roman" w:cs="Calibri"/>
          <w:b/>
          <w:bCs/>
          <w:sz w:val="21"/>
          <w:szCs w:val="21"/>
          <w:lang w:eastAsia="it-IT"/>
        </w:rPr>
        <w:t xml:space="preserve">sospensione dell’esecuzione dell’opera </w:t>
      </w:r>
      <w:r w:rsidRPr="00C21EE9">
        <w:rPr>
          <w:rFonts w:eastAsia="Times New Roman" w:cs="Calibri"/>
          <w:sz w:val="21"/>
          <w:szCs w:val="21"/>
          <w:lang w:eastAsia="it-IT"/>
        </w:rPr>
        <w:t xml:space="preserve">pubblica </w:t>
      </w:r>
      <w:r w:rsidRPr="00C21EE9">
        <w:rPr>
          <w:rFonts w:eastAsia="Times New Roman" w:cs="Calibri"/>
          <w:b/>
          <w:bCs/>
          <w:sz w:val="21"/>
          <w:szCs w:val="21"/>
          <w:lang w:eastAsia="it-IT"/>
        </w:rPr>
        <w:t>in caso di ATI</w:t>
      </w:r>
      <w:r w:rsidRPr="00C21EE9">
        <w:rPr>
          <w:rFonts w:eastAsia="Times New Roman" w:cs="Calibri"/>
          <w:sz w:val="21"/>
          <w:szCs w:val="21"/>
          <w:lang w:eastAsia="it-IT"/>
        </w:rPr>
        <w:t>.</w:t>
      </w:r>
    </w:p>
    <w:p w14:paraId="48650F83" w14:textId="77777777" w:rsidR="00052F25" w:rsidRPr="00C21EE9" w:rsidRDefault="00052F25" w:rsidP="00052F25">
      <w:pPr>
        <w:pStyle w:val="Paragrafoelenco"/>
        <w:shd w:val="clear" w:color="auto" w:fill="FFFFFF"/>
        <w:spacing w:after="0" w:line="240" w:lineRule="auto"/>
        <w:ind w:left="142"/>
        <w:jc w:val="both"/>
        <w:rPr>
          <w:rFonts w:eastAsia="Times New Roman" w:cs="Calibri"/>
          <w:sz w:val="21"/>
          <w:szCs w:val="21"/>
          <w:lang w:eastAsia="it-IT"/>
        </w:rPr>
      </w:pPr>
    </w:p>
    <w:p w14:paraId="6810DD45" w14:textId="25F45427" w:rsidR="00052F25" w:rsidRPr="00C21EE9" w:rsidRDefault="00052F25" w:rsidP="00052F25">
      <w:pPr>
        <w:shd w:val="clear" w:color="auto" w:fill="FFFFFF"/>
        <w:ind w:left="142"/>
        <w:jc w:val="both"/>
        <w:rPr>
          <w:rFonts w:ascii="Calibri" w:hAnsi="Calibri" w:cs="Calibri"/>
          <w:sz w:val="21"/>
          <w:szCs w:val="21"/>
        </w:rPr>
      </w:pPr>
      <w:r w:rsidRPr="00C21EE9">
        <w:rPr>
          <w:rFonts w:ascii="Calibri" w:hAnsi="Calibri" w:cs="Calibri"/>
          <w:sz w:val="21"/>
          <w:szCs w:val="21"/>
        </w:rPr>
        <w:t>Tra gli </w:t>
      </w:r>
      <w:r w:rsidRPr="00C21EE9">
        <w:rPr>
          <w:rFonts w:ascii="Calibri" w:hAnsi="Calibri" w:cs="Calibri"/>
          <w:b/>
          <w:bCs/>
          <w:sz w:val="21"/>
          <w:szCs w:val="21"/>
        </w:rPr>
        <w:t>ordini del giorno in Aula</w:t>
      </w:r>
      <w:r w:rsidRPr="00C21EE9">
        <w:rPr>
          <w:rFonts w:ascii="Calibri" w:hAnsi="Calibri" w:cs="Calibri"/>
          <w:sz w:val="21"/>
          <w:szCs w:val="21"/>
        </w:rPr>
        <w:t> che hanno ricevuto parere favorevole dal Governo</w:t>
      </w:r>
      <w:r w:rsidR="004C3C5A" w:rsidRPr="00C21EE9">
        <w:rPr>
          <w:rFonts w:ascii="Calibri" w:hAnsi="Calibri" w:cs="Calibri"/>
          <w:sz w:val="21"/>
          <w:szCs w:val="21"/>
        </w:rPr>
        <w:t xml:space="preserve"> </w:t>
      </w:r>
      <w:r w:rsidRPr="00C21EE9">
        <w:rPr>
          <w:rFonts w:ascii="Calibri" w:hAnsi="Calibri" w:cs="Calibri"/>
          <w:sz w:val="21"/>
          <w:szCs w:val="21"/>
        </w:rPr>
        <w:t>si evidenziano in particolare i seguenti, che impegnano l’Esecutivo a</w:t>
      </w:r>
      <w:r w:rsidR="004C3C5A" w:rsidRPr="00C21EE9">
        <w:rPr>
          <w:rFonts w:ascii="Calibri" w:hAnsi="Calibri" w:cs="Calibri"/>
          <w:sz w:val="21"/>
          <w:szCs w:val="21"/>
        </w:rPr>
        <w:t xml:space="preserve"> valutare l’opportunità di</w:t>
      </w:r>
      <w:r w:rsidRPr="00C21EE9">
        <w:rPr>
          <w:rFonts w:ascii="Calibri" w:hAnsi="Calibri" w:cs="Calibri"/>
          <w:sz w:val="21"/>
          <w:szCs w:val="21"/>
        </w:rPr>
        <w:t>:</w:t>
      </w:r>
    </w:p>
    <w:p w14:paraId="6A058FA2" w14:textId="77777777" w:rsidR="00052F25" w:rsidRPr="00C21EE9" w:rsidRDefault="00052F25" w:rsidP="00052F25">
      <w:pPr>
        <w:shd w:val="clear" w:color="auto" w:fill="FFFFFF"/>
        <w:ind w:left="142"/>
        <w:jc w:val="both"/>
        <w:rPr>
          <w:rFonts w:ascii="Calibri" w:hAnsi="Calibri" w:cs="Calibri"/>
          <w:sz w:val="21"/>
          <w:szCs w:val="21"/>
        </w:rPr>
      </w:pPr>
    </w:p>
    <w:p w14:paraId="72642572" w14:textId="6A6BFDB8" w:rsidR="00052F25" w:rsidRPr="00C21EE9" w:rsidRDefault="00052F25" w:rsidP="00052F25">
      <w:pPr>
        <w:pStyle w:val="Paragrafoelenco"/>
        <w:numPr>
          <w:ilvl w:val="0"/>
          <w:numId w:val="25"/>
        </w:numPr>
        <w:shd w:val="clear" w:color="auto" w:fill="FFFFFF"/>
        <w:spacing w:after="0" w:line="240" w:lineRule="auto"/>
        <w:ind w:left="709"/>
        <w:jc w:val="both"/>
        <w:rPr>
          <w:rFonts w:eastAsia="Times New Roman" w:cs="Calibri"/>
          <w:sz w:val="21"/>
          <w:szCs w:val="21"/>
          <w:lang w:eastAsia="it-IT"/>
        </w:rPr>
      </w:pPr>
      <w:r w:rsidRPr="00C21EE9">
        <w:rPr>
          <w:rFonts w:eastAsia="Times New Roman" w:cs="Calibri"/>
          <w:sz w:val="21"/>
          <w:szCs w:val="21"/>
          <w:lang w:eastAsia="it-IT"/>
        </w:rPr>
        <w:t>disporre una semplificazione del bonus 110 per cento mediante appositi interventi normativi, andando a ridurre le documentazioni richieste e le tempistiche dei lavori;</w:t>
      </w:r>
    </w:p>
    <w:p w14:paraId="06FD8054" w14:textId="4048B011" w:rsidR="00052F25" w:rsidRPr="00C21EE9" w:rsidRDefault="00052F25" w:rsidP="00052F25">
      <w:pPr>
        <w:pStyle w:val="Paragrafoelenco"/>
        <w:numPr>
          <w:ilvl w:val="0"/>
          <w:numId w:val="25"/>
        </w:numPr>
        <w:shd w:val="clear" w:color="auto" w:fill="FFFFFF"/>
        <w:spacing w:after="0" w:line="240" w:lineRule="auto"/>
        <w:ind w:left="709"/>
        <w:jc w:val="both"/>
        <w:rPr>
          <w:rFonts w:eastAsia="Times New Roman" w:cs="Calibri"/>
          <w:sz w:val="21"/>
          <w:szCs w:val="21"/>
          <w:lang w:eastAsia="it-IT"/>
        </w:rPr>
      </w:pPr>
      <w:r w:rsidRPr="00C21EE9">
        <w:rPr>
          <w:rFonts w:eastAsia="Times New Roman" w:cs="Calibri"/>
          <w:sz w:val="21"/>
          <w:szCs w:val="21"/>
          <w:lang w:eastAsia="it-IT"/>
        </w:rPr>
        <w:t>prevedere la piena applicabilità del bonus 110 per cento anche alle parti comuni degli edifici plurifamiliari posseduti ad un unico proprietario o in comproprietà tra più soggetti;</w:t>
      </w:r>
    </w:p>
    <w:p w14:paraId="4630B802" w14:textId="626827B3" w:rsidR="00052F25" w:rsidRPr="00C21EE9" w:rsidRDefault="00052F25" w:rsidP="00052F25">
      <w:pPr>
        <w:pStyle w:val="Paragrafoelenco"/>
        <w:numPr>
          <w:ilvl w:val="0"/>
          <w:numId w:val="25"/>
        </w:numPr>
        <w:shd w:val="clear" w:color="auto" w:fill="FFFFFF"/>
        <w:spacing w:after="0" w:line="240" w:lineRule="auto"/>
        <w:ind w:left="709"/>
        <w:jc w:val="both"/>
        <w:rPr>
          <w:rFonts w:eastAsia="Times New Roman" w:cs="Calibri"/>
          <w:sz w:val="21"/>
          <w:szCs w:val="21"/>
          <w:lang w:eastAsia="it-IT"/>
        </w:rPr>
      </w:pPr>
      <w:r w:rsidRPr="00C21EE9">
        <w:rPr>
          <w:rFonts w:eastAsia="Times New Roman" w:cs="Calibri"/>
          <w:sz w:val="21"/>
          <w:szCs w:val="21"/>
          <w:lang w:eastAsia="it-IT"/>
        </w:rPr>
        <w:t>prolungare la fruibilità del bonus 110 per cento almeno fino al 31 dicembre 2024;</w:t>
      </w:r>
    </w:p>
    <w:p w14:paraId="561005FC" w14:textId="348EB951" w:rsidR="00052F25" w:rsidRPr="00C21EE9" w:rsidRDefault="00052F25" w:rsidP="00052F25">
      <w:pPr>
        <w:pStyle w:val="Paragrafoelenco"/>
        <w:numPr>
          <w:ilvl w:val="0"/>
          <w:numId w:val="25"/>
        </w:numPr>
        <w:shd w:val="clear" w:color="auto" w:fill="FFFFFF"/>
        <w:spacing w:after="0" w:line="240" w:lineRule="auto"/>
        <w:ind w:left="709"/>
        <w:jc w:val="both"/>
        <w:rPr>
          <w:rFonts w:eastAsia="Times New Roman" w:cs="Calibri"/>
          <w:sz w:val="21"/>
          <w:szCs w:val="21"/>
          <w:lang w:eastAsia="it-IT"/>
        </w:rPr>
      </w:pPr>
      <w:r w:rsidRPr="00C21EE9">
        <w:rPr>
          <w:rFonts w:eastAsia="Times New Roman" w:cs="Calibri"/>
          <w:sz w:val="21"/>
          <w:szCs w:val="21"/>
          <w:lang w:eastAsia="it-IT"/>
        </w:rPr>
        <w:t>adottare ulteriori iniziative normative volte a prevedere che la validità delle autorizzazioni integrate ambientali in scadenza dal 31 gennaio 2020 al 15 ottobre 2020, data di cessazione dello stato di emergenza sanitaria, possano essere prorogate di 180 giorni;</w:t>
      </w:r>
    </w:p>
    <w:p w14:paraId="3FC2658B" w14:textId="50C7DE9C" w:rsidR="00052F25" w:rsidRPr="00C21EE9" w:rsidRDefault="00052F25" w:rsidP="00052F25">
      <w:pPr>
        <w:pStyle w:val="Paragrafoelenco"/>
        <w:numPr>
          <w:ilvl w:val="0"/>
          <w:numId w:val="25"/>
        </w:numPr>
        <w:shd w:val="clear" w:color="auto" w:fill="FFFFFF"/>
        <w:spacing w:after="0" w:line="240" w:lineRule="auto"/>
        <w:ind w:left="709"/>
        <w:jc w:val="both"/>
        <w:rPr>
          <w:rFonts w:eastAsia="Times New Roman" w:cs="Calibri"/>
          <w:sz w:val="21"/>
          <w:szCs w:val="21"/>
          <w:lang w:eastAsia="it-IT"/>
        </w:rPr>
      </w:pPr>
      <w:r w:rsidRPr="00C21EE9">
        <w:rPr>
          <w:rFonts w:eastAsia="Times New Roman" w:cs="Calibri"/>
          <w:sz w:val="21"/>
          <w:szCs w:val="21"/>
          <w:lang w:eastAsia="it-IT"/>
        </w:rPr>
        <w:t>dell</w:t>
      </w:r>
      <w:r w:rsidR="004C3C5A" w:rsidRPr="00C21EE9">
        <w:rPr>
          <w:rFonts w:eastAsia="Times New Roman" w:cs="Calibri"/>
          <w:sz w:val="21"/>
          <w:szCs w:val="21"/>
          <w:lang w:eastAsia="it-IT"/>
        </w:rPr>
        <w:t>’</w:t>
      </w:r>
      <w:r w:rsidRPr="00C21EE9">
        <w:rPr>
          <w:rFonts w:eastAsia="Times New Roman" w:cs="Calibri"/>
          <w:sz w:val="21"/>
          <w:szCs w:val="21"/>
          <w:lang w:eastAsia="it-IT"/>
        </w:rPr>
        <w:t>attivazione di un tavolo di lavoro per recepire dalle filiere edilizia e immobiliare, oltre dagli ordini professionali commenti e considerazioni volti a migliorare i contenuti del testo andando a superare i limiti presenti non conformi alle migliori pratiche internazionali in materia”.</w:t>
      </w:r>
    </w:p>
    <w:p w14:paraId="79189F47" w14:textId="40A3522A" w:rsidR="00750739" w:rsidRPr="00C21EE9" w:rsidRDefault="00750739" w:rsidP="00052F25">
      <w:pPr>
        <w:pStyle w:val="Paragrafoelenco"/>
        <w:shd w:val="clear" w:color="auto" w:fill="FFFFFF"/>
        <w:spacing w:after="0" w:line="240" w:lineRule="auto"/>
        <w:ind w:left="709"/>
        <w:jc w:val="both"/>
        <w:rPr>
          <w:rFonts w:eastAsia="Times New Roman" w:cs="Calibri"/>
          <w:sz w:val="21"/>
          <w:szCs w:val="21"/>
          <w:lang w:eastAsia="it-IT"/>
        </w:rPr>
      </w:pPr>
    </w:p>
    <w:p w14:paraId="5493FA56" w14:textId="77777777" w:rsidR="00750739" w:rsidRPr="00C21EE9" w:rsidRDefault="00750739" w:rsidP="00052F25">
      <w:pPr>
        <w:pStyle w:val="NormaleWeb"/>
        <w:ind w:left="142"/>
        <w:jc w:val="both"/>
        <w:rPr>
          <w:rFonts w:ascii="Calibri" w:hAnsi="Calibri" w:cs="Calibri"/>
          <w:sz w:val="21"/>
          <w:szCs w:val="21"/>
        </w:rPr>
      </w:pPr>
    </w:p>
    <w:p w14:paraId="559C0EBE" w14:textId="14D95700" w:rsidR="006411DF" w:rsidRPr="00C21EE9" w:rsidRDefault="006411DF" w:rsidP="00052F25">
      <w:pPr>
        <w:pStyle w:val="NormaleWeb"/>
        <w:ind w:left="142"/>
        <w:jc w:val="both"/>
        <w:rPr>
          <w:rStyle w:val="Enfasigrassetto"/>
          <w:rFonts w:ascii="Calibri" w:hAnsi="Calibri" w:cs="Calibri"/>
          <w:sz w:val="21"/>
          <w:szCs w:val="21"/>
        </w:rPr>
      </w:pPr>
      <w:r w:rsidRPr="00C21EE9">
        <w:rPr>
          <w:rStyle w:val="Enfasigrassetto"/>
          <w:rFonts w:ascii="Calibri" w:hAnsi="Calibri" w:cs="Calibri"/>
          <w:sz w:val="21"/>
          <w:szCs w:val="21"/>
        </w:rPr>
        <w:t>Riferimenti:</w:t>
      </w:r>
    </w:p>
    <w:p w14:paraId="5EEE77D9" w14:textId="77777777" w:rsidR="006411DF" w:rsidRPr="00C21EE9" w:rsidRDefault="006411DF" w:rsidP="00052F25">
      <w:pPr>
        <w:pStyle w:val="NormaleWeb"/>
        <w:ind w:left="142"/>
        <w:jc w:val="both"/>
        <w:rPr>
          <w:rFonts w:ascii="Calibri" w:hAnsi="Calibri" w:cs="Calibri"/>
          <w:sz w:val="21"/>
          <w:szCs w:val="21"/>
        </w:rPr>
      </w:pPr>
      <w:r w:rsidRPr="00C21EE9">
        <w:rPr>
          <w:rFonts w:ascii="Calibri" w:hAnsi="Calibri" w:cs="Calibri"/>
          <w:sz w:val="21"/>
          <w:szCs w:val="21"/>
        </w:rPr>
        <w:t>ANCE UMBRIA</w:t>
      </w:r>
    </w:p>
    <w:p w14:paraId="7D78A98D" w14:textId="6B907D09" w:rsidR="006411DF" w:rsidRPr="00C21EE9" w:rsidRDefault="006411DF" w:rsidP="00052F25">
      <w:pPr>
        <w:pStyle w:val="NormaleWeb"/>
        <w:ind w:left="142"/>
        <w:jc w:val="both"/>
        <w:rPr>
          <w:rFonts w:ascii="Calibri" w:hAnsi="Calibri" w:cs="Calibri"/>
          <w:sz w:val="21"/>
          <w:szCs w:val="21"/>
        </w:rPr>
      </w:pPr>
      <w:r w:rsidRPr="00C21EE9">
        <w:rPr>
          <w:rFonts w:ascii="Calibri" w:hAnsi="Calibri" w:cs="Calibri"/>
          <w:sz w:val="21"/>
          <w:szCs w:val="21"/>
        </w:rPr>
        <w:t xml:space="preserve">Perugia – </w:t>
      </w:r>
      <w:hyperlink r:id="rId8" w:history="1">
        <w:r w:rsidRPr="00C21EE9">
          <w:rPr>
            <w:rStyle w:val="Collegamentoipertestuale"/>
            <w:rFonts w:ascii="Calibri" w:hAnsi="Calibri" w:cs="Calibri"/>
            <w:color w:val="0033CC"/>
            <w:sz w:val="21"/>
            <w:szCs w:val="21"/>
          </w:rPr>
          <w:t>info@anceumbria.it</w:t>
        </w:r>
      </w:hyperlink>
      <w:r w:rsidRPr="00C21EE9">
        <w:rPr>
          <w:rFonts w:ascii="Calibri" w:hAnsi="Calibri" w:cs="Calibri"/>
          <w:sz w:val="21"/>
          <w:szCs w:val="21"/>
        </w:rPr>
        <w:t xml:space="preserve"> - Tel. 075/582751</w:t>
      </w:r>
    </w:p>
    <w:p w14:paraId="190D91BE" w14:textId="469279D8" w:rsidR="006411DF" w:rsidRPr="00C21EE9" w:rsidRDefault="006411DF" w:rsidP="00052F25">
      <w:pPr>
        <w:pStyle w:val="NormaleWeb"/>
        <w:ind w:left="142"/>
        <w:jc w:val="both"/>
        <w:rPr>
          <w:rFonts w:ascii="Calibri" w:hAnsi="Calibri" w:cs="Calibri"/>
          <w:sz w:val="21"/>
          <w:szCs w:val="21"/>
        </w:rPr>
      </w:pPr>
      <w:r w:rsidRPr="00C21EE9">
        <w:rPr>
          <w:rFonts w:ascii="Calibri" w:hAnsi="Calibri" w:cs="Calibri"/>
          <w:sz w:val="21"/>
          <w:szCs w:val="21"/>
        </w:rPr>
        <w:t xml:space="preserve">Terni - </w:t>
      </w:r>
      <w:hyperlink r:id="rId9" w:history="1">
        <w:r w:rsidRPr="00C21EE9">
          <w:rPr>
            <w:rStyle w:val="Collegamentoipertestuale"/>
            <w:rFonts w:ascii="Calibri" w:hAnsi="Calibri" w:cs="Calibri"/>
            <w:color w:val="0033CC"/>
            <w:sz w:val="21"/>
            <w:szCs w:val="21"/>
          </w:rPr>
          <w:t>edilizia@confindustria.terni.it</w:t>
        </w:r>
      </w:hyperlink>
      <w:r w:rsidRPr="00C21EE9">
        <w:rPr>
          <w:rFonts w:ascii="Calibri" w:hAnsi="Calibri" w:cs="Calibri"/>
          <w:sz w:val="21"/>
          <w:szCs w:val="21"/>
        </w:rPr>
        <w:t xml:space="preserve"> - Tel. 0744/443411</w:t>
      </w:r>
    </w:p>
    <w:p w14:paraId="6A9803D9" w14:textId="77777777" w:rsidR="007930A8" w:rsidRPr="00C21EE9" w:rsidRDefault="007930A8" w:rsidP="00052F25">
      <w:pPr>
        <w:tabs>
          <w:tab w:val="left" w:pos="720"/>
          <w:tab w:val="left" w:pos="900"/>
          <w:tab w:val="left" w:pos="1260"/>
          <w:tab w:val="left" w:pos="5580"/>
          <w:tab w:val="left" w:pos="6120"/>
        </w:tabs>
        <w:ind w:left="142" w:right="-2"/>
        <w:jc w:val="both"/>
        <w:rPr>
          <w:rFonts w:ascii="Calibri" w:hAnsi="Calibri" w:cs="Calibri"/>
          <w:sz w:val="21"/>
          <w:szCs w:val="21"/>
        </w:rPr>
      </w:pPr>
    </w:p>
    <w:p w14:paraId="7FBCA73E" w14:textId="3C102CCF" w:rsidR="00783E6E" w:rsidRPr="00C21EE9" w:rsidRDefault="00952E48" w:rsidP="00052F25">
      <w:pPr>
        <w:tabs>
          <w:tab w:val="left" w:pos="720"/>
          <w:tab w:val="left" w:pos="900"/>
          <w:tab w:val="left" w:pos="1260"/>
          <w:tab w:val="left" w:pos="5580"/>
          <w:tab w:val="left" w:pos="6120"/>
        </w:tabs>
        <w:ind w:left="142" w:right="-2"/>
        <w:jc w:val="right"/>
        <w:rPr>
          <w:rFonts w:ascii="Calibri" w:hAnsi="Calibri" w:cs="Calibri"/>
          <w:sz w:val="21"/>
          <w:szCs w:val="21"/>
        </w:rPr>
      </w:pPr>
      <w:r w:rsidRPr="00C21EE9">
        <w:rPr>
          <w:rFonts w:ascii="Calibri" w:hAnsi="Calibri" w:cs="Calibri"/>
          <w:sz w:val="21"/>
          <w:szCs w:val="21"/>
        </w:rPr>
        <w:t xml:space="preserve">Pubblicato il </w:t>
      </w:r>
      <w:r w:rsidR="00052F25" w:rsidRPr="00C21EE9">
        <w:rPr>
          <w:rFonts w:ascii="Calibri" w:hAnsi="Calibri" w:cs="Calibri"/>
          <w:sz w:val="21"/>
          <w:szCs w:val="21"/>
        </w:rPr>
        <w:t>11</w:t>
      </w:r>
      <w:r w:rsidR="00FD4966" w:rsidRPr="00C21EE9">
        <w:rPr>
          <w:rFonts w:ascii="Calibri" w:hAnsi="Calibri" w:cs="Calibri"/>
          <w:sz w:val="21"/>
          <w:szCs w:val="21"/>
        </w:rPr>
        <w:t>/0</w:t>
      </w:r>
      <w:r w:rsidR="009C2025" w:rsidRPr="00C21EE9">
        <w:rPr>
          <w:rFonts w:ascii="Calibri" w:hAnsi="Calibri" w:cs="Calibri"/>
          <w:sz w:val="21"/>
          <w:szCs w:val="21"/>
        </w:rPr>
        <w:t>9</w:t>
      </w:r>
      <w:r w:rsidR="00297F87" w:rsidRPr="00C21EE9">
        <w:rPr>
          <w:rFonts w:ascii="Calibri" w:hAnsi="Calibri" w:cs="Calibri"/>
          <w:sz w:val="21"/>
          <w:szCs w:val="21"/>
        </w:rPr>
        <w:t>/2020</w:t>
      </w:r>
    </w:p>
    <w:sectPr w:rsidR="00783E6E" w:rsidRPr="00C21EE9" w:rsidSect="004E62C8">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3518F" w14:textId="77777777" w:rsidR="00CC2153" w:rsidRDefault="00CC2153">
      <w:r>
        <w:separator/>
      </w:r>
    </w:p>
  </w:endnote>
  <w:endnote w:type="continuationSeparator" w:id="0">
    <w:p w14:paraId="0C71C696" w14:textId="77777777" w:rsidR="00CC2153" w:rsidRDefault="00CC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11257" w14:textId="77777777" w:rsidR="00CC2153" w:rsidRDefault="00CC2153">
      <w:r>
        <w:separator/>
      </w:r>
    </w:p>
  </w:footnote>
  <w:footnote w:type="continuationSeparator" w:id="0">
    <w:p w14:paraId="07CE3B94" w14:textId="77777777" w:rsidR="00CC2153" w:rsidRDefault="00CC2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CC2153">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0.5pt;height:39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05D1"/>
    <w:multiLevelType w:val="hybridMultilevel"/>
    <w:tmpl w:val="A0D45D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2F0A91"/>
    <w:multiLevelType w:val="hybridMultilevel"/>
    <w:tmpl w:val="9B78D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BC4B17"/>
    <w:multiLevelType w:val="hybridMultilevel"/>
    <w:tmpl w:val="CBC0295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0D7029D9"/>
    <w:multiLevelType w:val="hybridMultilevel"/>
    <w:tmpl w:val="55B09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5674CF"/>
    <w:multiLevelType w:val="hybridMultilevel"/>
    <w:tmpl w:val="DC4C1270"/>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D87FDA"/>
    <w:multiLevelType w:val="multilevel"/>
    <w:tmpl w:val="50622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F37CA"/>
    <w:multiLevelType w:val="hybridMultilevel"/>
    <w:tmpl w:val="ACA47E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8B3329"/>
    <w:multiLevelType w:val="multilevel"/>
    <w:tmpl w:val="BCBE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CA05A1"/>
    <w:multiLevelType w:val="multilevel"/>
    <w:tmpl w:val="47ECB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8C3BC2"/>
    <w:multiLevelType w:val="hybridMultilevel"/>
    <w:tmpl w:val="3D44C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90297B"/>
    <w:multiLevelType w:val="hybridMultilevel"/>
    <w:tmpl w:val="0DC6C4E0"/>
    <w:lvl w:ilvl="0" w:tplc="0410000F">
      <w:start w:val="1"/>
      <w:numFmt w:val="decimal"/>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11" w15:restartNumberingAfterBreak="0">
    <w:nsid w:val="2E20488F"/>
    <w:multiLevelType w:val="multilevel"/>
    <w:tmpl w:val="A382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CA4982"/>
    <w:multiLevelType w:val="multilevel"/>
    <w:tmpl w:val="82A6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F16C87"/>
    <w:multiLevelType w:val="hybridMultilevel"/>
    <w:tmpl w:val="8F5A164A"/>
    <w:lvl w:ilvl="0" w:tplc="52922C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49768B"/>
    <w:multiLevelType w:val="hybridMultilevel"/>
    <w:tmpl w:val="2410CC46"/>
    <w:styleLink w:val="Puntielenco"/>
    <w:lvl w:ilvl="0" w:tplc="4860FC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1E2C70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C1A55E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EFAB04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45295D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9C116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59BCFE5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86EEB8D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CF287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E792179"/>
    <w:multiLevelType w:val="hybridMultilevel"/>
    <w:tmpl w:val="208A98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03653BB"/>
    <w:multiLevelType w:val="multilevel"/>
    <w:tmpl w:val="D3C48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81D29"/>
    <w:multiLevelType w:val="multilevel"/>
    <w:tmpl w:val="EFD0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A60AC7"/>
    <w:multiLevelType w:val="multilevel"/>
    <w:tmpl w:val="6B32B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3B3BBF"/>
    <w:multiLevelType w:val="multilevel"/>
    <w:tmpl w:val="7F78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37219F"/>
    <w:multiLevelType w:val="hybridMultilevel"/>
    <w:tmpl w:val="146E4008"/>
    <w:lvl w:ilvl="0" w:tplc="0410000F">
      <w:start w:val="1"/>
      <w:numFmt w:val="decimal"/>
      <w:lvlText w:val="%1."/>
      <w:lvlJc w:val="left"/>
      <w:pPr>
        <w:ind w:left="1515" w:hanging="360"/>
      </w:pPr>
    </w:lvl>
    <w:lvl w:ilvl="1" w:tplc="04100019" w:tentative="1">
      <w:start w:val="1"/>
      <w:numFmt w:val="lowerLetter"/>
      <w:lvlText w:val="%2."/>
      <w:lvlJc w:val="left"/>
      <w:pPr>
        <w:ind w:left="2235" w:hanging="360"/>
      </w:pPr>
    </w:lvl>
    <w:lvl w:ilvl="2" w:tplc="0410001B" w:tentative="1">
      <w:start w:val="1"/>
      <w:numFmt w:val="lowerRoman"/>
      <w:lvlText w:val="%3."/>
      <w:lvlJc w:val="right"/>
      <w:pPr>
        <w:ind w:left="2955" w:hanging="180"/>
      </w:pPr>
    </w:lvl>
    <w:lvl w:ilvl="3" w:tplc="0410000F" w:tentative="1">
      <w:start w:val="1"/>
      <w:numFmt w:val="decimal"/>
      <w:lvlText w:val="%4."/>
      <w:lvlJc w:val="left"/>
      <w:pPr>
        <w:ind w:left="3675" w:hanging="360"/>
      </w:pPr>
    </w:lvl>
    <w:lvl w:ilvl="4" w:tplc="04100019" w:tentative="1">
      <w:start w:val="1"/>
      <w:numFmt w:val="lowerLetter"/>
      <w:lvlText w:val="%5."/>
      <w:lvlJc w:val="left"/>
      <w:pPr>
        <w:ind w:left="4395" w:hanging="360"/>
      </w:pPr>
    </w:lvl>
    <w:lvl w:ilvl="5" w:tplc="0410001B" w:tentative="1">
      <w:start w:val="1"/>
      <w:numFmt w:val="lowerRoman"/>
      <w:lvlText w:val="%6."/>
      <w:lvlJc w:val="right"/>
      <w:pPr>
        <w:ind w:left="5115" w:hanging="180"/>
      </w:pPr>
    </w:lvl>
    <w:lvl w:ilvl="6" w:tplc="0410000F" w:tentative="1">
      <w:start w:val="1"/>
      <w:numFmt w:val="decimal"/>
      <w:lvlText w:val="%7."/>
      <w:lvlJc w:val="left"/>
      <w:pPr>
        <w:ind w:left="5835" w:hanging="360"/>
      </w:pPr>
    </w:lvl>
    <w:lvl w:ilvl="7" w:tplc="04100019" w:tentative="1">
      <w:start w:val="1"/>
      <w:numFmt w:val="lowerLetter"/>
      <w:lvlText w:val="%8."/>
      <w:lvlJc w:val="left"/>
      <w:pPr>
        <w:ind w:left="6555" w:hanging="360"/>
      </w:pPr>
    </w:lvl>
    <w:lvl w:ilvl="8" w:tplc="0410001B" w:tentative="1">
      <w:start w:val="1"/>
      <w:numFmt w:val="lowerRoman"/>
      <w:lvlText w:val="%9."/>
      <w:lvlJc w:val="right"/>
      <w:pPr>
        <w:ind w:left="7275" w:hanging="180"/>
      </w:pPr>
    </w:lvl>
  </w:abstractNum>
  <w:abstractNum w:abstractNumId="21" w15:restartNumberingAfterBreak="0">
    <w:nsid w:val="793D75C0"/>
    <w:multiLevelType w:val="hybridMultilevel"/>
    <w:tmpl w:val="E362D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D93450"/>
    <w:multiLevelType w:val="multilevel"/>
    <w:tmpl w:val="3D30DF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6C7BC6"/>
    <w:multiLevelType w:val="hybridMultilevel"/>
    <w:tmpl w:val="15A021F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E972E2F"/>
    <w:multiLevelType w:val="hybridMultilevel"/>
    <w:tmpl w:val="0EF06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9"/>
  </w:num>
  <w:num w:numId="4">
    <w:abstractNumId w:val="21"/>
  </w:num>
  <w:num w:numId="5">
    <w:abstractNumId w:val="20"/>
  </w:num>
  <w:num w:numId="6">
    <w:abstractNumId w:val="0"/>
  </w:num>
  <w:num w:numId="7">
    <w:abstractNumId w:val="24"/>
  </w:num>
  <w:num w:numId="8">
    <w:abstractNumId w:val="13"/>
  </w:num>
  <w:num w:numId="9">
    <w:abstractNumId w:val="18"/>
  </w:num>
  <w:num w:numId="10">
    <w:abstractNumId w:val="22"/>
  </w:num>
  <w:num w:numId="11">
    <w:abstractNumId w:val="16"/>
  </w:num>
  <w:num w:numId="12">
    <w:abstractNumId w:val="5"/>
  </w:num>
  <w:num w:numId="13">
    <w:abstractNumId w:val="6"/>
  </w:num>
  <w:num w:numId="14">
    <w:abstractNumId w:val="19"/>
  </w:num>
  <w:num w:numId="15">
    <w:abstractNumId w:val="7"/>
  </w:num>
  <w:num w:numId="16">
    <w:abstractNumId w:val="17"/>
  </w:num>
  <w:num w:numId="17">
    <w:abstractNumId w:val="11"/>
  </w:num>
  <w:num w:numId="18">
    <w:abstractNumId w:val="12"/>
  </w:num>
  <w:num w:numId="19">
    <w:abstractNumId w:val="3"/>
  </w:num>
  <w:num w:numId="20">
    <w:abstractNumId w:val="10"/>
  </w:num>
  <w:num w:numId="21">
    <w:abstractNumId w:val="23"/>
  </w:num>
  <w:num w:numId="22">
    <w:abstractNumId w:val="1"/>
  </w:num>
  <w:num w:numId="23">
    <w:abstractNumId w:val="4"/>
  </w:num>
  <w:num w:numId="24">
    <w:abstractNumId w:val="15"/>
  </w:num>
  <w:num w:numId="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2716"/>
    <w:rsid w:val="000143BB"/>
    <w:rsid w:val="00014CFE"/>
    <w:rsid w:val="00016196"/>
    <w:rsid w:val="00030A72"/>
    <w:rsid w:val="000369D4"/>
    <w:rsid w:val="00037418"/>
    <w:rsid w:val="00040CFB"/>
    <w:rsid w:val="0004674A"/>
    <w:rsid w:val="00052071"/>
    <w:rsid w:val="00052F25"/>
    <w:rsid w:val="000539CB"/>
    <w:rsid w:val="00053A2C"/>
    <w:rsid w:val="000614F9"/>
    <w:rsid w:val="000625BE"/>
    <w:rsid w:val="000637F2"/>
    <w:rsid w:val="000703BF"/>
    <w:rsid w:val="0007297F"/>
    <w:rsid w:val="000742BE"/>
    <w:rsid w:val="00080ADD"/>
    <w:rsid w:val="00087150"/>
    <w:rsid w:val="0009085F"/>
    <w:rsid w:val="000B06C6"/>
    <w:rsid w:val="000B2103"/>
    <w:rsid w:val="000C53BB"/>
    <w:rsid w:val="000D0123"/>
    <w:rsid w:val="000D36C6"/>
    <w:rsid w:val="000D45D8"/>
    <w:rsid w:val="000D4668"/>
    <w:rsid w:val="000D4ADA"/>
    <w:rsid w:val="000D6C34"/>
    <w:rsid w:val="000E38C9"/>
    <w:rsid w:val="000E5710"/>
    <w:rsid w:val="000E6DB1"/>
    <w:rsid w:val="0010566D"/>
    <w:rsid w:val="00117DE3"/>
    <w:rsid w:val="00126D4F"/>
    <w:rsid w:val="001311CA"/>
    <w:rsid w:val="00134010"/>
    <w:rsid w:val="0013536D"/>
    <w:rsid w:val="00136808"/>
    <w:rsid w:val="00151B1D"/>
    <w:rsid w:val="00151BDD"/>
    <w:rsid w:val="00160F19"/>
    <w:rsid w:val="001674E2"/>
    <w:rsid w:val="00172666"/>
    <w:rsid w:val="00177173"/>
    <w:rsid w:val="00181F9E"/>
    <w:rsid w:val="001867E9"/>
    <w:rsid w:val="00197786"/>
    <w:rsid w:val="001A0EA6"/>
    <w:rsid w:val="001A61DB"/>
    <w:rsid w:val="001B0373"/>
    <w:rsid w:val="001B1366"/>
    <w:rsid w:val="001B68B7"/>
    <w:rsid w:val="001C016B"/>
    <w:rsid w:val="001C5C73"/>
    <w:rsid w:val="001D46AD"/>
    <w:rsid w:val="001D783D"/>
    <w:rsid w:val="001D7F3D"/>
    <w:rsid w:val="001E0909"/>
    <w:rsid w:val="001E1A02"/>
    <w:rsid w:val="001E720B"/>
    <w:rsid w:val="001F202A"/>
    <w:rsid w:val="001F48AB"/>
    <w:rsid w:val="001F4BA5"/>
    <w:rsid w:val="0020292B"/>
    <w:rsid w:val="00206722"/>
    <w:rsid w:val="00210ED4"/>
    <w:rsid w:val="002113BA"/>
    <w:rsid w:val="002166C4"/>
    <w:rsid w:val="0022540F"/>
    <w:rsid w:val="00230989"/>
    <w:rsid w:val="00237B46"/>
    <w:rsid w:val="00241A95"/>
    <w:rsid w:val="00242295"/>
    <w:rsid w:val="00254095"/>
    <w:rsid w:val="002650B4"/>
    <w:rsid w:val="002655A5"/>
    <w:rsid w:val="00265FD1"/>
    <w:rsid w:val="00267F8E"/>
    <w:rsid w:val="0027190F"/>
    <w:rsid w:val="0027421E"/>
    <w:rsid w:val="002743DA"/>
    <w:rsid w:val="00293463"/>
    <w:rsid w:val="002959ED"/>
    <w:rsid w:val="00297F87"/>
    <w:rsid w:val="002A6DFD"/>
    <w:rsid w:val="002B3446"/>
    <w:rsid w:val="002B5E47"/>
    <w:rsid w:val="002B7EEB"/>
    <w:rsid w:val="002D246E"/>
    <w:rsid w:val="002D2B28"/>
    <w:rsid w:val="002E4047"/>
    <w:rsid w:val="002F44A9"/>
    <w:rsid w:val="00300CDB"/>
    <w:rsid w:val="00306EA7"/>
    <w:rsid w:val="003114C4"/>
    <w:rsid w:val="00315031"/>
    <w:rsid w:val="00315091"/>
    <w:rsid w:val="00322EE8"/>
    <w:rsid w:val="00326815"/>
    <w:rsid w:val="003347DC"/>
    <w:rsid w:val="003361DA"/>
    <w:rsid w:val="0034265F"/>
    <w:rsid w:val="00344B54"/>
    <w:rsid w:val="00363BF8"/>
    <w:rsid w:val="003646F3"/>
    <w:rsid w:val="003702D1"/>
    <w:rsid w:val="00371573"/>
    <w:rsid w:val="00385BAE"/>
    <w:rsid w:val="003944BF"/>
    <w:rsid w:val="00395392"/>
    <w:rsid w:val="003A5334"/>
    <w:rsid w:val="003A759E"/>
    <w:rsid w:val="003B0B57"/>
    <w:rsid w:val="003B6D95"/>
    <w:rsid w:val="003B7ED2"/>
    <w:rsid w:val="003C19FB"/>
    <w:rsid w:val="003C6682"/>
    <w:rsid w:val="003E5874"/>
    <w:rsid w:val="003F1228"/>
    <w:rsid w:val="0041047E"/>
    <w:rsid w:val="0041177C"/>
    <w:rsid w:val="00417C79"/>
    <w:rsid w:val="0042052A"/>
    <w:rsid w:val="004353E3"/>
    <w:rsid w:val="004435C3"/>
    <w:rsid w:val="00454209"/>
    <w:rsid w:val="00462395"/>
    <w:rsid w:val="00465747"/>
    <w:rsid w:val="00472D2B"/>
    <w:rsid w:val="00474ADE"/>
    <w:rsid w:val="0047686E"/>
    <w:rsid w:val="00483E55"/>
    <w:rsid w:val="004A43B9"/>
    <w:rsid w:val="004A5095"/>
    <w:rsid w:val="004B0EF1"/>
    <w:rsid w:val="004B5C7B"/>
    <w:rsid w:val="004B691C"/>
    <w:rsid w:val="004C1CE6"/>
    <w:rsid w:val="004C2CC8"/>
    <w:rsid w:val="004C3C5A"/>
    <w:rsid w:val="004C6703"/>
    <w:rsid w:val="004D48E8"/>
    <w:rsid w:val="004D4957"/>
    <w:rsid w:val="004E0C94"/>
    <w:rsid w:val="004E3922"/>
    <w:rsid w:val="004E62C8"/>
    <w:rsid w:val="004F2D22"/>
    <w:rsid w:val="00517FCD"/>
    <w:rsid w:val="00520F32"/>
    <w:rsid w:val="005276B5"/>
    <w:rsid w:val="0053112D"/>
    <w:rsid w:val="00531CA4"/>
    <w:rsid w:val="00532542"/>
    <w:rsid w:val="00534E4E"/>
    <w:rsid w:val="00546306"/>
    <w:rsid w:val="00551BCE"/>
    <w:rsid w:val="005615FE"/>
    <w:rsid w:val="00565BA4"/>
    <w:rsid w:val="00570DF9"/>
    <w:rsid w:val="00571AA5"/>
    <w:rsid w:val="00572355"/>
    <w:rsid w:val="00572EC8"/>
    <w:rsid w:val="00580492"/>
    <w:rsid w:val="00580D22"/>
    <w:rsid w:val="00583231"/>
    <w:rsid w:val="00585124"/>
    <w:rsid w:val="00585847"/>
    <w:rsid w:val="005952A0"/>
    <w:rsid w:val="005A2FBD"/>
    <w:rsid w:val="005A6420"/>
    <w:rsid w:val="005A68AC"/>
    <w:rsid w:val="005B0270"/>
    <w:rsid w:val="005B68CD"/>
    <w:rsid w:val="005C488C"/>
    <w:rsid w:val="005D26BF"/>
    <w:rsid w:val="005D2783"/>
    <w:rsid w:val="005E05F4"/>
    <w:rsid w:val="005E29D1"/>
    <w:rsid w:val="005E2A6A"/>
    <w:rsid w:val="005E5E6F"/>
    <w:rsid w:val="005E694F"/>
    <w:rsid w:val="005F136F"/>
    <w:rsid w:val="00600B26"/>
    <w:rsid w:val="00606C5A"/>
    <w:rsid w:val="0061389C"/>
    <w:rsid w:val="00617528"/>
    <w:rsid w:val="00625F3C"/>
    <w:rsid w:val="00627603"/>
    <w:rsid w:val="00633A04"/>
    <w:rsid w:val="00634F54"/>
    <w:rsid w:val="006370DF"/>
    <w:rsid w:val="006411A6"/>
    <w:rsid w:val="006411DF"/>
    <w:rsid w:val="00646791"/>
    <w:rsid w:val="00654840"/>
    <w:rsid w:val="00673C44"/>
    <w:rsid w:val="00684F34"/>
    <w:rsid w:val="00686CD4"/>
    <w:rsid w:val="0069445C"/>
    <w:rsid w:val="00696623"/>
    <w:rsid w:val="006A03F2"/>
    <w:rsid w:val="006A2CD6"/>
    <w:rsid w:val="006C0F54"/>
    <w:rsid w:val="006C26BE"/>
    <w:rsid w:val="006C4649"/>
    <w:rsid w:val="006C5530"/>
    <w:rsid w:val="006C6827"/>
    <w:rsid w:val="006D187D"/>
    <w:rsid w:val="006E4E22"/>
    <w:rsid w:val="006E64CC"/>
    <w:rsid w:val="006E71D6"/>
    <w:rsid w:val="006F3D2C"/>
    <w:rsid w:val="006F4A89"/>
    <w:rsid w:val="007006D5"/>
    <w:rsid w:val="00706997"/>
    <w:rsid w:val="00710780"/>
    <w:rsid w:val="007120A3"/>
    <w:rsid w:val="0071697A"/>
    <w:rsid w:val="007212D6"/>
    <w:rsid w:val="00721719"/>
    <w:rsid w:val="007268E0"/>
    <w:rsid w:val="007278BF"/>
    <w:rsid w:val="00727E86"/>
    <w:rsid w:val="00730857"/>
    <w:rsid w:val="007336E8"/>
    <w:rsid w:val="00744DE8"/>
    <w:rsid w:val="00745E91"/>
    <w:rsid w:val="00750739"/>
    <w:rsid w:val="00754C9D"/>
    <w:rsid w:val="0075722D"/>
    <w:rsid w:val="00760A45"/>
    <w:rsid w:val="00761C9E"/>
    <w:rsid w:val="00764518"/>
    <w:rsid w:val="00766FFC"/>
    <w:rsid w:val="00775FF9"/>
    <w:rsid w:val="00783E6E"/>
    <w:rsid w:val="007872ED"/>
    <w:rsid w:val="007900D5"/>
    <w:rsid w:val="007911A1"/>
    <w:rsid w:val="00792D99"/>
    <w:rsid w:val="007930A8"/>
    <w:rsid w:val="00793849"/>
    <w:rsid w:val="00796CE5"/>
    <w:rsid w:val="007A106A"/>
    <w:rsid w:val="007A4BC4"/>
    <w:rsid w:val="007A514A"/>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6F9"/>
    <w:rsid w:val="007F7D2A"/>
    <w:rsid w:val="00801AE3"/>
    <w:rsid w:val="008021EA"/>
    <w:rsid w:val="0080382C"/>
    <w:rsid w:val="008050CE"/>
    <w:rsid w:val="008122F0"/>
    <w:rsid w:val="00814B6A"/>
    <w:rsid w:val="00827AA4"/>
    <w:rsid w:val="0083206A"/>
    <w:rsid w:val="008324D4"/>
    <w:rsid w:val="00842CAC"/>
    <w:rsid w:val="0085090E"/>
    <w:rsid w:val="008617BD"/>
    <w:rsid w:val="00876261"/>
    <w:rsid w:val="0089242A"/>
    <w:rsid w:val="00895D5A"/>
    <w:rsid w:val="008B3432"/>
    <w:rsid w:val="008B5620"/>
    <w:rsid w:val="008C21F3"/>
    <w:rsid w:val="008C6FB9"/>
    <w:rsid w:val="008E4D83"/>
    <w:rsid w:val="008E602C"/>
    <w:rsid w:val="008F7F38"/>
    <w:rsid w:val="009023F1"/>
    <w:rsid w:val="0091416E"/>
    <w:rsid w:val="0092313F"/>
    <w:rsid w:val="00924F70"/>
    <w:rsid w:val="009259DA"/>
    <w:rsid w:val="00930421"/>
    <w:rsid w:val="00933A9A"/>
    <w:rsid w:val="00935FD9"/>
    <w:rsid w:val="00936AC3"/>
    <w:rsid w:val="00943234"/>
    <w:rsid w:val="00943AF3"/>
    <w:rsid w:val="00947B49"/>
    <w:rsid w:val="00951362"/>
    <w:rsid w:val="00952E48"/>
    <w:rsid w:val="00962B81"/>
    <w:rsid w:val="00964D43"/>
    <w:rsid w:val="00972881"/>
    <w:rsid w:val="009A181B"/>
    <w:rsid w:val="009A600B"/>
    <w:rsid w:val="009B0727"/>
    <w:rsid w:val="009B370B"/>
    <w:rsid w:val="009C2025"/>
    <w:rsid w:val="009C20B0"/>
    <w:rsid w:val="009C5511"/>
    <w:rsid w:val="009C66FF"/>
    <w:rsid w:val="009D0AE2"/>
    <w:rsid w:val="009D26C3"/>
    <w:rsid w:val="009D42AF"/>
    <w:rsid w:val="009D58A8"/>
    <w:rsid w:val="009D6A94"/>
    <w:rsid w:val="009E0FC5"/>
    <w:rsid w:val="009E313A"/>
    <w:rsid w:val="009E5252"/>
    <w:rsid w:val="009E718E"/>
    <w:rsid w:val="009F00C9"/>
    <w:rsid w:val="009F30D5"/>
    <w:rsid w:val="00A00CC0"/>
    <w:rsid w:val="00A02167"/>
    <w:rsid w:val="00A029FA"/>
    <w:rsid w:val="00A100C9"/>
    <w:rsid w:val="00A108C5"/>
    <w:rsid w:val="00A2160D"/>
    <w:rsid w:val="00A238E8"/>
    <w:rsid w:val="00A27F82"/>
    <w:rsid w:val="00A35E9C"/>
    <w:rsid w:val="00A549EE"/>
    <w:rsid w:val="00A554C8"/>
    <w:rsid w:val="00A5706E"/>
    <w:rsid w:val="00A65A7B"/>
    <w:rsid w:val="00A72245"/>
    <w:rsid w:val="00A7325D"/>
    <w:rsid w:val="00A86C5A"/>
    <w:rsid w:val="00A874BE"/>
    <w:rsid w:val="00A92403"/>
    <w:rsid w:val="00AA0D22"/>
    <w:rsid w:val="00AA32FA"/>
    <w:rsid w:val="00AA755B"/>
    <w:rsid w:val="00AA7A03"/>
    <w:rsid w:val="00AB5961"/>
    <w:rsid w:val="00AC09F6"/>
    <w:rsid w:val="00AC0DA4"/>
    <w:rsid w:val="00AC363E"/>
    <w:rsid w:val="00AD6736"/>
    <w:rsid w:val="00AE4116"/>
    <w:rsid w:val="00AE484B"/>
    <w:rsid w:val="00AE7C4C"/>
    <w:rsid w:val="00AF1207"/>
    <w:rsid w:val="00AF303A"/>
    <w:rsid w:val="00AF4404"/>
    <w:rsid w:val="00AF4D79"/>
    <w:rsid w:val="00AF6300"/>
    <w:rsid w:val="00B1385A"/>
    <w:rsid w:val="00B203AC"/>
    <w:rsid w:val="00B23422"/>
    <w:rsid w:val="00B27B4F"/>
    <w:rsid w:val="00B27DA0"/>
    <w:rsid w:val="00B34B96"/>
    <w:rsid w:val="00B37E06"/>
    <w:rsid w:val="00B44EC6"/>
    <w:rsid w:val="00B55997"/>
    <w:rsid w:val="00B56F41"/>
    <w:rsid w:val="00B71AF1"/>
    <w:rsid w:val="00B74B3D"/>
    <w:rsid w:val="00B90950"/>
    <w:rsid w:val="00B954F6"/>
    <w:rsid w:val="00B9787B"/>
    <w:rsid w:val="00B97A78"/>
    <w:rsid w:val="00BA6BD6"/>
    <w:rsid w:val="00BA7B76"/>
    <w:rsid w:val="00BB7D4D"/>
    <w:rsid w:val="00BC0691"/>
    <w:rsid w:val="00BC4801"/>
    <w:rsid w:val="00BD3C2C"/>
    <w:rsid w:val="00BD60DB"/>
    <w:rsid w:val="00C10A7A"/>
    <w:rsid w:val="00C13B4C"/>
    <w:rsid w:val="00C21EE9"/>
    <w:rsid w:val="00C27714"/>
    <w:rsid w:val="00C433AC"/>
    <w:rsid w:val="00C46AA6"/>
    <w:rsid w:val="00C5394A"/>
    <w:rsid w:val="00C6046C"/>
    <w:rsid w:val="00C6483F"/>
    <w:rsid w:val="00C7079A"/>
    <w:rsid w:val="00C82C7A"/>
    <w:rsid w:val="00C86132"/>
    <w:rsid w:val="00C92C40"/>
    <w:rsid w:val="00C93D89"/>
    <w:rsid w:val="00C96C69"/>
    <w:rsid w:val="00CA1FD0"/>
    <w:rsid w:val="00CA32BA"/>
    <w:rsid w:val="00CA5FB4"/>
    <w:rsid w:val="00CA677D"/>
    <w:rsid w:val="00CB0B8E"/>
    <w:rsid w:val="00CB1898"/>
    <w:rsid w:val="00CB302D"/>
    <w:rsid w:val="00CC1909"/>
    <w:rsid w:val="00CC2153"/>
    <w:rsid w:val="00CC42BA"/>
    <w:rsid w:val="00CD2F0A"/>
    <w:rsid w:val="00CD4A8E"/>
    <w:rsid w:val="00CE5F79"/>
    <w:rsid w:val="00CF1412"/>
    <w:rsid w:val="00CF6D2A"/>
    <w:rsid w:val="00D05B8F"/>
    <w:rsid w:val="00D06063"/>
    <w:rsid w:val="00D102CD"/>
    <w:rsid w:val="00D12686"/>
    <w:rsid w:val="00D12E1E"/>
    <w:rsid w:val="00D13CAB"/>
    <w:rsid w:val="00D2250C"/>
    <w:rsid w:val="00D2305A"/>
    <w:rsid w:val="00D24A1C"/>
    <w:rsid w:val="00D25CF8"/>
    <w:rsid w:val="00D30E39"/>
    <w:rsid w:val="00D327D9"/>
    <w:rsid w:val="00D32FC7"/>
    <w:rsid w:val="00D35077"/>
    <w:rsid w:val="00D403FB"/>
    <w:rsid w:val="00D42C91"/>
    <w:rsid w:val="00D46D8F"/>
    <w:rsid w:val="00D50F2A"/>
    <w:rsid w:val="00D54D0D"/>
    <w:rsid w:val="00D551CF"/>
    <w:rsid w:val="00D66BBB"/>
    <w:rsid w:val="00D70745"/>
    <w:rsid w:val="00D71FF5"/>
    <w:rsid w:val="00D74092"/>
    <w:rsid w:val="00D77E54"/>
    <w:rsid w:val="00D9275A"/>
    <w:rsid w:val="00DA4273"/>
    <w:rsid w:val="00DA5995"/>
    <w:rsid w:val="00DB3985"/>
    <w:rsid w:val="00DB4953"/>
    <w:rsid w:val="00DC0ED4"/>
    <w:rsid w:val="00DC7F97"/>
    <w:rsid w:val="00DD019F"/>
    <w:rsid w:val="00DE15E7"/>
    <w:rsid w:val="00DF5163"/>
    <w:rsid w:val="00E15D00"/>
    <w:rsid w:val="00E20570"/>
    <w:rsid w:val="00E209CB"/>
    <w:rsid w:val="00E2384A"/>
    <w:rsid w:val="00E25D34"/>
    <w:rsid w:val="00E273B4"/>
    <w:rsid w:val="00E31E8B"/>
    <w:rsid w:val="00E36D39"/>
    <w:rsid w:val="00E44B8E"/>
    <w:rsid w:val="00E47D5B"/>
    <w:rsid w:val="00E5260E"/>
    <w:rsid w:val="00E56C4C"/>
    <w:rsid w:val="00E57F9D"/>
    <w:rsid w:val="00E71CEB"/>
    <w:rsid w:val="00E74979"/>
    <w:rsid w:val="00E83FD1"/>
    <w:rsid w:val="00E906B5"/>
    <w:rsid w:val="00E909DF"/>
    <w:rsid w:val="00EA4465"/>
    <w:rsid w:val="00EB1B2C"/>
    <w:rsid w:val="00EB54EC"/>
    <w:rsid w:val="00EB5F34"/>
    <w:rsid w:val="00EB6196"/>
    <w:rsid w:val="00EB749A"/>
    <w:rsid w:val="00EC0D5D"/>
    <w:rsid w:val="00ED1726"/>
    <w:rsid w:val="00ED2018"/>
    <w:rsid w:val="00ED2B9F"/>
    <w:rsid w:val="00ED6E2C"/>
    <w:rsid w:val="00ED7B1E"/>
    <w:rsid w:val="00EE18FB"/>
    <w:rsid w:val="00EF1C88"/>
    <w:rsid w:val="00EF69AE"/>
    <w:rsid w:val="00F06540"/>
    <w:rsid w:val="00F136B4"/>
    <w:rsid w:val="00F169DE"/>
    <w:rsid w:val="00F23D65"/>
    <w:rsid w:val="00F31A89"/>
    <w:rsid w:val="00F32A75"/>
    <w:rsid w:val="00F4051C"/>
    <w:rsid w:val="00F4663F"/>
    <w:rsid w:val="00F51DA0"/>
    <w:rsid w:val="00F52882"/>
    <w:rsid w:val="00F53831"/>
    <w:rsid w:val="00F53938"/>
    <w:rsid w:val="00F53F66"/>
    <w:rsid w:val="00F60480"/>
    <w:rsid w:val="00F623AC"/>
    <w:rsid w:val="00F804E0"/>
    <w:rsid w:val="00F80976"/>
    <w:rsid w:val="00F81262"/>
    <w:rsid w:val="00F81771"/>
    <w:rsid w:val="00F9163B"/>
    <w:rsid w:val="00F94CCF"/>
    <w:rsid w:val="00FA52B2"/>
    <w:rsid w:val="00FC5166"/>
    <w:rsid w:val="00FC53D5"/>
    <w:rsid w:val="00FC6664"/>
    <w:rsid w:val="00FD49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paragraph" w:customStyle="1" w:styleId="Didefault">
    <w:name w:val="Di default"/>
    <w:rsid w:val="002B344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Puntielenco">
    <w:name w:val="Punti elenco"/>
    <w:rsid w:val="002B3446"/>
    <w:pPr>
      <w:numPr>
        <w:numId w:val="1"/>
      </w:numPr>
    </w:pPr>
  </w:style>
  <w:style w:type="character" w:customStyle="1" w:styleId="Nessuno">
    <w:name w:val="Nessuno"/>
    <w:rsid w:val="002B3446"/>
  </w:style>
  <w:style w:type="character" w:customStyle="1" w:styleId="Hyperlink1">
    <w:name w:val="Hyperlink.1"/>
    <w:rsid w:val="002B3446"/>
    <w:rPr>
      <w:rFonts w:ascii="Tahoma" w:eastAsia="Tahoma" w:hAnsi="Tahoma" w:cs="Tahoma"/>
      <w:outline w:val="0"/>
      <w:color w:val="0070C0"/>
      <w:u w:val="single" w:color="0070C0"/>
    </w:rPr>
  </w:style>
  <w:style w:type="character" w:customStyle="1" w:styleId="Hyperlink0">
    <w:name w:val="Hyperlink.0"/>
    <w:rsid w:val="002B3446"/>
    <w:rPr>
      <w:outline w:val="0"/>
      <w:color w:val="0000FF"/>
      <w:u w:val="single" w:color="0000FF"/>
    </w:rPr>
  </w:style>
  <w:style w:type="paragraph" w:styleId="Testonormale">
    <w:name w:val="Plain Text"/>
    <w:basedOn w:val="Normale"/>
    <w:link w:val="TestonormaleCarattere"/>
    <w:uiPriority w:val="99"/>
    <w:semiHidden/>
    <w:unhideWhenUsed/>
    <w:rsid w:val="00A549EE"/>
    <w:rPr>
      <w:rFonts w:ascii="Calibri" w:eastAsia="Calibri" w:hAnsi="Calibri" w:cs="Calibri"/>
      <w:sz w:val="22"/>
      <w:szCs w:val="22"/>
    </w:rPr>
  </w:style>
  <w:style w:type="character" w:customStyle="1" w:styleId="TestonormaleCarattere">
    <w:name w:val="Testo normale Carattere"/>
    <w:link w:val="Testonormale"/>
    <w:uiPriority w:val="99"/>
    <w:semiHidden/>
    <w:rsid w:val="00A549E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97024684">
      <w:bodyDiv w:val="1"/>
      <w:marLeft w:val="0"/>
      <w:marRight w:val="0"/>
      <w:marTop w:val="0"/>
      <w:marBottom w:val="0"/>
      <w:divBdr>
        <w:top w:val="none" w:sz="0" w:space="0" w:color="auto"/>
        <w:left w:val="none" w:sz="0" w:space="0" w:color="auto"/>
        <w:bottom w:val="none" w:sz="0" w:space="0" w:color="auto"/>
        <w:right w:val="none" w:sz="0" w:space="0" w:color="auto"/>
      </w:divBdr>
      <w:divsChild>
        <w:div w:id="255135011">
          <w:marLeft w:val="0"/>
          <w:marRight w:val="0"/>
          <w:marTop w:val="0"/>
          <w:marBottom w:val="0"/>
          <w:divBdr>
            <w:top w:val="none" w:sz="0" w:space="0" w:color="auto"/>
            <w:left w:val="none" w:sz="0" w:space="0" w:color="auto"/>
            <w:bottom w:val="none" w:sz="0" w:space="0" w:color="auto"/>
            <w:right w:val="none" w:sz="0" w:space="0" w:color="auto"/>
          </w:divBdr>
        </w:div>
      </w:divsChild>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28418633">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23732315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18659278">
      <w:bodyDiv w:val="1"/>
      <w:marLeft w:val="0"/>
      <w:marRight w:val="0"/>
      <w:marTop w:val="0"/>
      <w:marBottom w:val="0"/>
      <w:divBdr>
        <w:top w:val="none" w:sz="0" w:space="0" w:color="auto"/>
        <w:left w:val="none" w:sz="0" w:space="0" w:color="auto"/>
        <w:bottom w:val="none" w:sz="0" w:space="0" w:color="auto"/>
        <w:right w:val="none" w:sz="0" w:space="0" w:color="auto"/>
      </w:divBdr>
    </w:div>
    <w:div w:id="395517468">
      <w:bodyDiv w:val="1"/>
      <w:marLeft w:val="0"/>
      <w:marRight w:val="0"/>
      <w:marTop w:val="0"/>
      <w:marBottom w:val="0"/>
      <w:divBdr>
        <w:top w:val="none" w:sz="0" w:space="0" w:color="auto"/>
        <w:left w:val="none" w:sz="0" w:space="0" w:color="auto"/>
        <w:bottom w:val="none" w:sz="0" w:space="0" w:color="auto"/>
        <w:right w:val="none" w:sz="0" w:space="0" w:color="auto"/>
      </w:divBdr>
    </w:div>
    <w:div w:id="41039245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0772000">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874999546">
      <w:bodyDiv w:val="1"/>
      <w:marLeft w:val="0"/>
      <w:marRight w:val="0"/>
      <w:marTop w:val="0"/>
      <w:marBottom w:val="0"/>
      <w:divBdr>
        <w:top w:val="none" w:sz="0" w:space="0" w:color="auto"/>
        <w:left w:val="none" w:sz="0" w:space="0" w:color="auto"/>
        <w:bottom w:val="none" w:sz="0" w:space="0" w:color="auto"/>
        <w:right w:val="none" w:sz="0" w:space="0" w:color="auto"/>
      </w:divBdr>
    </w:div>
    <w:div w:id="1015955739">
      <w:bodyDiv w:val="1"/>
      <w:marLeft w:val="0"/>
      <w:marRight w:val="0"/>
      <w:marTop w:val="0"/>
      <w:marBottom w:val="0"/>
      <w:divBdr>
        <w:top w:val="none" w:sz="0" w:space="0" w:color="auto"/>
        <w:left w:val="none" w:sz="0" w:space="0" w:color="auto"/>
        <w:bottom w:val="none" w:sz="0" w:space="0" w:color="auto"/>
        <w:right w:val="none" w:sz="0" w:space="0" w:color="auto"/>
      </w:divBdr>
    </w:div>
    <w:div w:id="1065569638">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22662001">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455059655">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732923225">
      <w:bodyDiv w:val="1"/>
      <w:marLeft w:val="0"/>
      <w:marRight w:val="0"/>
      <w:marTop w:val="0"/>
      <w:marBottom w:val="0"/>
      <w:divBdr>
        <w:top w:val="none" w:sz="0" w:space="0" w:color="auto"/>
        <w:left w:val="none" w:sz="0" w:space="0" w:color="auto"/>
        <w:bottom w:val="none" w:sz="0" w:space="0" w:color="auto"/>
        <w:right w:val="none" w:sz="0" w:space="0" w:color="auto"/>
      </w:divBdr>
    </w:div>
    <w:div w:id="1868713636">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47808837">
      <w:bodyDiv w:val="1"/>
      <w:marLeft w:val="0"/>
      <w:marRight w:val="0"/>
      <w:marTop w:val="0"/>
      <w:marBottom w:val="0"/>
      <w:divBdr>
        <w:top w:val="none" w:sz="0" w:space="0" w:color="auto"/>
        <w:left w:val="none" w:sz="0" w:space="0" w:color="auto"/>
        <w:bottom w:val="none" w:sz="0" w:space="0" w:color="auto"/>
        <w:right w:val="none" w:sz="0" w:space="0" w:color="auto"/>
      </w:divBdr>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W12ADC02\archivi\010_CONFINDUSTRIA%20UMBRIA\Notiziario\2020\EDILIZIA\info@anceumbria.it%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mera.it/leg18/126?tab=&amp;leg=18&amp;idDocumento=2648&amp;sede=&amp;tip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SW12ADC02\archivi\010_CONFINDUSTRIA%20UMBRIA\Notiziario\2020\EDILIZIA\edilizia@confindustria.tern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23</TotalTime>
  <Pages>1</Pages>
  <Words>474</Words>
  <Characters>2708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3176</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6</cp:revision>
  <cp:lastPrinted>2019-02-27T17:41:00Z</cp:lastPrinted>
  <dcterms:created xsi:type="dcterms:W3CDTF">2020-09-11T13:36:00Z</dcterms:created>
  <dcterms:modified xsi:type="dcterms:W3CDTF">2020-09-11T15:48:00Z</dcterms:modified>
</cp:coreProperties>
</file>