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29C45" w14:textId="779C69F6" w:rsidR="00E866B7" w:rsidRDefault="00952E48" w:rsidP="000D7CF8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3782E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489A" wp14:editId="1F6FF27F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EF5C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D7CF8" w:rsidRPr="000D7CF8">
        <w:rPr>
          <w:rFonts w:asciiTheme="minorHAnsi" w:hAnsiTheme="minorHAnsi" w:cstheme="minorHAnsi"/>
          <w:b/>
          <w:bCs/>
          <w:noProof/>
          <w:sz w:val="22"/>
          <w:szCs w:val="22"/>
        </w:rPr>
        <w:t>Presentazione progetti di internazionalizzazione mediante la partecipazione a fiere internazionali: pubblicato il bando</w:t>
      </w:r>
    </w:p>
    <w:p w14:paraId="0C79AB76" w14:textId="77777777" w:rsidR="00E866B7" w:rsidRDefault="00E866B7" w:rsidP="0073782E">
      <w:pPr>
        <w:ind w:left="142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0C42F41" w14:textId="416627D7" w:rsidR="0073782E" w:rsidRPr="0073782E" w:rsidRDefault="000D7CF8" w:rsidP="000D7CF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sz w:val="22"/>
          <w:szCs w:val="22"/>
        </w:rPr>
        <w:t>Invio delle domande dal 27 ottobre al 31 dicembre 2020</w:t>
      </w:r>
    </w:p>
    <w:p w14:paraId="351D148D" w14:textId="0D11BEFB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01FA710" w14:textId="07C4E4D7" w:rsidR="000D7CF8" w:rsidRPr="000D7CF8" w:rsidRDefault="000D7CF8" w:rsidP="000D7C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sz w:val="22"/>
          <w:szCs w:val="22"/>
        </w:rPr>
        <w:t xml:space="preserve">È stato pubblicato sul Bollettino Ufficiale della Regione Umbria (S.O. n. 51 del 13 ottobre 2020) l’Avviso pubblico </w:t>
      </w:r>
      <w:r w:rsidR="009279D1">
        <w:rPr>
          <w:rFonts w:asciiTheme="minorHAnsi" w:hAnsiTheme="minorHAnsi" w:cstheme="minorHAnsi"/>
          <w:sz w:val="22"/>
          <w:szCs w:val="22"/>
        </w:rPr>
        <w:t xml:space="preserve">regionale gestito da </w:t>
      </w:r>
      <w:r w:rsidR="009563ED">
        <w:rPr>
          <w:rFonts w:asciiTheme="minorHAnsi" w:hAnsiTheme="minorHAnsi" w:cstheme="minorHAnsi"/>
          <w:sz w:val="22"/>
          <w:szCs w:val="22"/>
        </w:rPr>
        <w:t xml:space="preserve">Sviluppumbria </w:t>
      </w:r>
      <w:r w:rsidRPr="000D7CF8">
        <w:rPr>
          <w:rFonts w:asciiTheme="minorHAnsi" w:hAnsiTheme="minorHAnsi" w:cstheme="minorHAnsi"/>
          <w:sz w:val="22"/>
          <w:szCs w:val="22"/>
        </w:rPr>
        <w:t>per la presentazione di progetti di internazionalizzazione mediante la partecipazione a fiere internazionali che si svolgono dal 1° ottobre 2020 al 31 dicembre 2021.</w:t>
      </w:r>
    </w:p>
    <w:p w14:paraId="5958CBC8" w14:textId="77777777" w:rsidR="000D7CF8" w:rsidRPr="000D7CF8" w:rsidRDefault="000D7CF8" w:rsidP="000D7C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E8E8FA0" w14:textId="77777777" w:rsidR="000D7CF8" w:rsidRPr="000D7CF8" w:rsidRDefault="000D7CF8" w:rsidP="000D7CF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sz w:val="22"/>
          <w:szCs w:val="22"/>
        </w:rPr>
        <w:t xml:space="preserve">Si riportano di seguito gli aspetti principali del provvedimento, disponibile </w:t>
      </w:r>
      <w:r w:rsidRPr="000D7CF8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0D7CF8">
        <w:rPr>
          <w:rFonts w:asciiTheme="minorHAnsi" w:hAnsiTheme="minorHAnsi" w:cstheme="minorHAnsi"/>
          <w:sz w:val="22"/>
          <w:szCs w:val="22"/>
        </w:rPr>
        <w:t>.</w:t>
      </w:r>
    </w:p>
    <w:p w14:paraId="7E28B86D" w14:textId="77777777" w:rsidR="000D7CF8" w:rsidRPr="000D7CF8" w:rsidRDefault="000D7CF8" w:rsidP="000D7C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381C7D" w14:textId="77777777" w:rsidR="000D7CF8" w:rsidRPr="000D7CF8" w:rsidRDefault="000D7CF8" w:rsidP="000D7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sz w:val="22"/>
          <w:szCs w:val="22"/>
        </w:rPr>
        <w:t>Destinatari</w:t>
      </w:r>
    </w:p>
    <w:p w14:paraId="32A9E105" w14:textId="77777777" w:rsidR="000D7CF8" w:rsidRPr="000D7CF8" w:rsidRDefault="000D7CF8" w:rsidP="000D7CF8">
      <w:pPr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sz w:val="22"/>
          <w:szCs w:val="22"/>
        </w:rPr>
        <w:t>L’avviso è rivolto alle micro, piccole e medie imprese (MPMI) umbre</w:t>
      </w:r>
      <w:r w:rsidRPr="000D7CF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D7CF8">
        <w:rPr>
          <w:rFonts w:asciiTheme="minorHAnsi" w:hAnsiTheme="minorHAnsi" w:cstheme="minorHAnsi"/>
          <w:sz w:val="22"/>
          <w:szCs w:val="22"/>
        </w:rPr>
        <w:t>e intende</w:t>
      </w:r>
      <w:r w:rsidRPr="000D7CF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D7CF8">
        <w:rPr>
          <w:rFonts w:asciiTheme="minorHAnsi" w:hAnsiTheme="minorHAnsi" w:cstheme="minorHAnsi"/>
          <w:sz w:val="22"/>
          <w:szCs w:val="22"/>
        </w:rPr>
        <w:t>sostenere i loro progetti di internazionalizzazione mediante la partecipazione a una o più fiere internazionali in modalità tradizionale (in presenza) e/o digitale.</w:t>
      </w:r>
    </w:p>
    <w:p w14:paraId="3A2A4F2A" w14:textId="77777777" w:rsidR="000D7CF8" w:rsidRPr="000D7CF8" w:rsidRDefault="000D7CF8" w:rsidP="000D7C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2BC9A4" w14:textId="77777777" w:rsidR="000D7CF8" w:rsidRPr="000D7CF8" w:rsidRDefault="000D7CF8" w:rsidP="000D7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sz w:val="22"/>
          <w:szCs w:val="22"/>
        </w:rPr>
        <w:t>Iniziative finanziabili</w:t>
      </w:r>
    </w:p>
    <w:p w14:paraId="1EE341B7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Le imprese, all’interno del periodo 1° ottobre 2020 - 31 dicembre 2021, possono liberamente individuare le fiere internazionali svolte in Italia e all’estero. L’impresa può presentare solo una domanda, corrispondente al proprio progetto di internazionalizzazione, che deve prevedere la partecipazione a una o più fiere.</w:t>
      </w:r>
    </w:p>
    <w:p w14:paraId="0F5CD89C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Il numero massimo delle fiere internazionali che l’impresa può richiedere è pari a cinque.</w:t>
      </w:r>
    </w:p>
    <w:p w14:paraId="77EE84F4" w14:textId="77777777" w:rsidR="000D7CF8" w:rsidRPr="000D7CF8" w:rsidRDefault="000D7CF8" w:rsidP="000D7C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F6BE5" w14:textId="77777777" w:rsidR="000D7CF8" w:rsidRPr="000D7CF8" w:rsidRDefault="000D7CF8" w:rsidP="000D7C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sz w:val="22"/>
          <w:szCs w:val="22"/>
        </w:rPr>
        <w:t xml:space="preserve">Contributi </w:t>
      </w:r>
    </w:p>
    <w:p w14:paraId="118AEF5C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Per ciascuna 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fiera internazionale tradizionale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 xml:space="preserve"> la spesa massima ammissibile è pari a:</w:t>
      </w:r>
    </w:p>
    <w:p w14:paraId="1A0D549F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16.000 euro per le fiere internazionali in Italia;</w:t>
      </w:r>
    </w:p>
    <w:p w14:paraId="0C741415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20.000 euro per le fiere internazionali all’estero. </w:t>
      </w:r>
    </w:p>
    <w:p w14:paraId="5C332592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 xml:space="preserve">Per ciascuna 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fiera internazionale digitale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 la spesa massima ammissibile è invece pari 10.000 euro.</w:t>
      </w:r>
    </w:p>
    <w:p w14:paraId="313537DE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Il contributo a fondo perduto riconosciuto per la partecipazione a ciascuna fiera ammissibile (fiere in presenza), sarà determinato sulla base di un costo standard semplificato determinato in base al Paese di svolgimento della fiera, alla durata dell’evento e ai giorni di partecipazione del beneficiario alla fiera ovvero sulla base della rendicontazione a costi reali delle spese ammissibili.</w:t>
      </w:r>
    </w:p>
    <w:p w14:paraId="61AD13B7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Per le fiere internazionali in modalità digitale il contributo a fondo perduto riconosciuto per la partecipazione a ciascuna fiera ammissibile sarà invece determinato unicamente sulla base della rendicontazione a costi reali delle spese ammissibili.</w:t>
      </w:r>
    </w:p>
    <w:p w14:paraId="47DA4C0A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CA3FF71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Risorse disponibili</w:t>
      </w:r>
    </w:p>
    <w:p w14:paraId="5A8B436D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Le risorse finanziarie disponibili per il presente Avviso ammontano a 2.200.000 euro. </w:t>
      </w:r>
    </w:p>
    <w:p w14:paraId="2BA6A156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28839EF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Termini di presentazione </w:t>
      </w:r>
    </w:p>
    <w:p w14:paraId="2F234990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La compilazione delle domande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di ammissione alle agevolazioni potrà essere effettuata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 xml:space="preserve">a partire dalle 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ore 10 del 20 ottobre 2020 e fino alle ore 12 del 31 dicembre 2020 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utilizzando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esclusivamente il servizio on line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raggiungibile all’indirizzo </w:t>
      </w:r>
      <w:hyperlink r:id="rId7" w:history="1">
        <w:r w:rsidRPr="000D7CF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https://serviziinrete.regione.umbria.it/</w:t>
        </w:r>
      </w:hyperlink>
    </w:p>
    <w:p w14:paraId="77C9D494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14ED259C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 xml:space="preserve">L’invio della richiesta di ammissione alle agevolazioni potrà essere invece effettuato a partire dalle ore </w:t>
      </w: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 del 27 ottobre 2020 e fino alle ore 12 del 31 dicembre 2020</w:t>
      </w:r>
      <w:r w:rsidRPr="000D7CF8">
        <w:rPr>
          <w:rFonts w:asciiTheme="minorHAnsi" w:hAnsiTheme="minorHAnsi" w:cstheme="minorHAnsi"/>
          <w:color w:val="000000"/>
          <w:sz w:val="22"/>
          <w:szCs w:val="22"/>
        </w:rPr>
        <w:t> accedendo all’indirizzo</w:t>
      </w:r>
      <w:hyperlink r:id="rId8" w:tgtFrame="_blank" w:history="1">
        <w:r w:rsidRPr="000D7CF8">
          <w:rPr>
            <w:rStyle w:val="Collegamentoipertestuale"/>
            <w:rFonts w:asciiTheme="minorHAnsi" w:hAnsiTheme="minorHAnsi" w:cstheme="minorHAnsi"/>
            <w:color w:val="000000"/>
            <w:sz w:val="22"/>
            <w:szCs w:val="22"/>
          </w:rPr>
          <w:t> </w:t>
        </w:r>
      </w:hyperlink>
      <w:hyperlink r:id="rId9" w:history="1">
        <w:r w:rsidRPr="000D7CF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http://trasmissione.bandi.regione.umbria.it</w:t>
        </w:r>
      </w:hyperlink>
      <w:hyperlink r:id="rId10" w:tgtFrame="_blank" w:history="1">
        <w:r w:rsidRPr="000D7CF8">
          <w:rPr>
            <w:rStyle w:val="Collegamentoipertestuale"/>
            <w:rFonts w:asciiTheme="minorHAnsi" w:hAnsiTheme="minorHAnsi" w:cstheme="minorHAnsi"/>
            <w:color w:val="000000"/>
            <w:sz w:val="22"/>
            <w:szCs w:val="22"/>
          </w:rPr>
          <w:t>.</w:t>
        </w:r>
      </w:hyperlink>
    </w:p>
    <w:p w14:paraId="68C87E41" w14:textId="77777777" w:rsidR="000D7CF8" w:rsidRPr="000D7CF8" w:rsidRDefault="000D7CF8" w:rsidP="000D7C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0605F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 ogni informazione di dettaglio (eleggibilità, procedure, massimali), assistenza nella predisposizione e gestione del progetto, le aziende interessate possono contattare direttamente i referenti di </w:t>
      </w:r>
      <w:r w:rsidRPr="000D7CF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Umbria Export.</w:t>
      </w:r>
    </w:p>
    <w:p w14:paraId="199E17C5" w14:textId="77777777" w:rsidR="000D7CF8" w:rsidRPr="000D7CF8" w:rsidRDefault="000D7CF8" w:rsidP="000D7C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102B2C3" w14:textId="77777777" w:rsidR="000D7CF8" w:rsidRPr="000D7CF8" w:rsidRDefault="000D7CF8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3F90C6A5" w14:textId="77777777" w:rsidR="000D7CF8" w:rsidRPr="000D7CF8" w:rsidRDefault="000D7CF8" w:rsidP="000D7CF8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0D7CF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Riferimenti:</w:t>
      </w:r>
    </w:p>
    <w:p w14:paraId="30217FAF" w14:textId="77777777" w:rsidR="000D7CF8" w:rsidRPr="000D7CF8" w:rsidRDefault="000D7CF8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Tel. 075/582761</w:t>
      </w:r>
    </w:p>
    <w:p w14:paraId="102C2AF4" w14:textId="77777777" w:rsidR="000D7CF8" w:rsidRPr="000D7CF8" w:rsidRDefault="006E364F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0D7CF8" w:rsidRPr="000D7CF8">
          <w:rPr>
            <w:rStyle w:val="Collegamentoipertestuale"/>
            <w:rFonts w:asciiTheme="minorHAnsi" w:hAnsiTheme="minorHAnsi" w:cstheme="minorHAnsi"/>
            <w:color w:val="000000"/>
            <w:sz w:val="22"/>
            <w:szCs w:val="22"/>
          </w:rPr>
          <w:t>uexp@exp.it</w:t>
        </w:r>
      </w:hyperlink>
    </w:p>
    <w:p w14:paraId="097885F8" w14:textId="77777777" w:rsidR="000D7CF8" w:rsidRPr="000D7CF8" w:rsidRDefault="000D7CF8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0D7CF8">
        <w:rPr>
          <w:rFonts w:asciiTheme="minorHAnsi" w:hAnsiTheme="minorHAnsi" w:cstheme="minorHAnsi"/>
          <w:color w:val="000000"/>
          <w:sz w:val="22"/>
          <w:szCs w:val="22"/>
        </w:rPr>
        <w:t>Dott. Filippo Sisti</w:t>
      </w:r>
    </w:p>
    <w:p w14:paraId="6FB83ED4" w14:textId="77777777" w:rsidR="000D7CF8" w:rsidRPr="009279D1" w:rsidRDefault="000D7CF8" w:rsidP="000D7C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279D1">
        <w:rPr>
          <w:rFonts w:asciiTheme="minorHAnsi" w:hAnsiTheme="minorHAnsi" w:cstheme="minorHAnsi"/>
          <w:color w:val="000000"/>
          <w:sz w:val="22"/>
          <w:szCs w:val="22"/>
        </w:rPr>
        <w:t>D.ssa Zelimirka Zeljka Karesin</w:t>
      </w:r>
    </w:p>
    <w:p w14:paraId="0A4F2CA7" w14:textId="77777777" w:rsidR="000D7CF8" w:rsidRPr="009279D1" w:rsidRDefault="000D7CF8" w:rsidP="000D7CF8">
      <w:pPr>
        <w:shd w:val="clear" w:color="auto" w:fill="FFFFFF"/>
      </w:pPr>
    </w:p>
    <w:p w14:paraId="1A70A9DC" w14:textId="77777777" w:rsidR="000D7CF8" w:rsidRDefault="000D7CF8" w:rsidP="000D7CF8"/>
    <w:p w14:paraId="1A6A2D2B" w14:textId="77777777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BA1B548" w14:textId="05B48EE2" w:rsidR="009516BB" w:rsidRPr="009279D1" w:rsidRDefault="009516BB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ADA3429" w14:textId="77777777" w:rsidR="009516BB" w:rsidRPr="009279D1" w:rsidRDefault="009516BB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71E830B" w14:textId="77777777" w:rsidR="006E2790" w:rsidRPr="009279D1" w:rsidRDefault="006E2790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1DA5B0" w14:textId="3597746F" w:rsidR="00783E6E" w:rsidRPr="0073782E" w:rsidRDefault="00952E48" w:rsidP="0073782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3782E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0D7CF8">
        <w:rPr>
          <w:rFonts w:asciiTheme="minorHAnsi" w:hAnsiTheme="minorHAnsi" w:cstheme="minorHAnsi"/>
          <w:sz w:val="22"/>
          <w:szCs w:val="22"/>
        </w:rPr>
        <w:t>15</w:t>
      </w:r>
      <w:r w:rsidR="0073782E" w:rsidRPr="0073782E">
        <w:rPr>
          <w:rFonts w:asciiTheme="minorHAnsi" w:hAnsiTheme="minorHAnsi" w:cstheme="minorHAnsi"/>
          <w:sz w:val="22"/>
          <w:szCs w:val="22"/>
        </w:rPr>
        <w:t>/</w:t>
      </w:r>
      <w:r w:rsidR="000D7CF8">
        <w:rPr>
          <w:rFonts w:asciiTheme="minorHAnsi" w:hAnsiTheme="minorHAnsi" w:cstheme="minorHAnsi"/>
          <w:sz w:val="22"/>
          <w:szCs w:val="22"/>
        </w:rPr>
        <w:t>10</w:t>
      </w:r>
      <w:r w:rsidR="0073782E" w:rsidRPr="0073782E">
        <w:rPr>
          <w:rFonts w:asciiTheme="minorHAnsi" w:hAnsiTheme="minorHAnsi" w:cstheme="minorHAnsi"/>
          <w:sz w:val="22"/>
          <w:szCs w:val="22"/>
        </w:rPr>
        <w:t>/</w:t>
      </w:r>
      <w:r w:rsidR="002A6C47" w:rsidRPr="0073782E">
        <w:rPr>
          <w:rFonts w:asciiTheme="minorHAnsi" w:hAnsiTheme="minorHAnsi" w:cstheme="minorHAnsi"/>
          <w:sz w:val="22"/>
          <w:szCs w:val="22"/>
        </w:rPr>
        <w:t>2020</w:t>
      </w:r>
    </w:p>
    <w:sectPr w:rsidR="00783E6E" w:rsidRPr="0073782E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100D2" w14:textId="77777777" w:rsidR="006E364F" w:rsidRDefault="006E364F">
      <w:r>
        <w:separator/>
      </w:r>
    </w:p>
  </w:endnote>
  <w:endnote w:type="continuationSeparator" w:id="0">
    <w:p w14:paraId="317404DE" w14:textId="77777777" w:rsidR="006E364F" w:rsidRDefault="006E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6E71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528D340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0E10D67E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3701683B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70A8E" w14:textId="77777777" w:rsidR="006E364F" w:rsidRDefault="006E364F">
      <w:r>
        <w:separator/>
      </w:r>
    </w:p>
  </w:footnote>
  <w:footnote w:type="continuationSeparator" w:id="0">
    <w:p w14:paraId="5CC21F60" w14:textId="77777777" w:rsidR="006E364F" w:rsidRDefault="006E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01CAED7E" w14:textId="77777777">
      <w:tc>
        <w:tcPr>
          <w:tcW w:w="900" w:type="dxa"/>
        </w:tcPr>
        <w:p w14:paraId="7F52EFAE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2B7594A0" wp14:editId="58D39544">
                <wp:extent cx="510540" cy="499745"/>
                <wp:effectExtent l="0" t="0" r="381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2BC1EF42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4A0472F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27BC671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292B297" w14:textId="77777777">
      <w:tc>
        <w:tcPr>
          <w:tcW w:w="900" w:type="dxa"/>
        </w:tcPr>
        <w:p w14:paraId="6105A6F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30E3CB78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2E0194BC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0DB3B7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0DA1A95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F79E8C8" w14:textId="77777777" w:rsidTr="00952E48">
      <w:tc>
        <w:tcPr>
          <w:tcW w:w="900" w:type="dxa"/>
        </w:tcPr>
        <w:p w14:paraId="51DEEF64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4812350F" wp14:editId="7D8A54BD">
                <wp:extent cx="510540" cy="499745"/>
                <wp:effectExtent l="0" t="0" r="3810" b="0"/>
                <wp:docPr id="3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092B7B3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79E4F3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F515D6D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45C953E" w14:textId="77777777" w:rsidTr="00952E48">
      <w:tc>
        <w:tcPr>
          <w:tcW w:w="900" w:type="dxa"/>
        </w:tcPr>
        <w:p w14:paraId="52E3ED6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0D16D9A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40A91B6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28D5E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D66A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22C5"/>
    <w:multiLevelType w:val="multilevel"/>
    <w:tmpl w:val="5134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71D5A"/>
    <w:multiLevelType w:val="hybridMultilevel"/>
    <w:tmpl w:val="9760BC0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7528BC"/>
    <w:multiLevelType w:val="hybridMultilevel"/>
    <w:tmpl w:val="CF6865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11E5B10"/>
    <w:multiLevelType w:val="multilevel"/>
    <w:tmpl w:val="5D2C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61937"/>
    <w:multiLevelType w:val="multilevel"/>
    <w:tmpl w:val="148E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44973"/>
    <w:multiLevelType w:val="multilevel"/>
    <w:tmpl w:val="F5CA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670DD"/>
    <w:multiLevelType w:val="hybridMultilevel"/>
    <w:tmpl w:val="2B2A2D8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0B61FD"/>
    <w:multiLevelType w:val="multilevel"/>
    <w:tmpl w:val="09D6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13C62"/>
    <w:multiLevelType w:val="hybridMultilevel"/>
    <w:tmpl w:val="8390D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0A7A"/>
    <w:multiLevelType w:val="hybridMultilevel"/>
    <w:tmpl w:val="03089C42"/>
    <w:lvl w:ilvl="0" w:tplc="F9EA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030ED"/>
    <w:multiLevelType w:val="hybridMultilevel"/>
    <w:tmpl w:val="60B6BA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4B0796"/>
    <w:multiLevelType w:val="multilevel"/>
    <w:tmpl w:val="4D10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92A2D"/>
    <w:multiLevelType w:val="hybridMultilevel"/>
    <w:tmpl w:val="58FC4564"/>
    <w:lvl w:ilvl="0" w:tplc="F9EA1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83081"/>
    <w:multiLevelType w:val="hybridMultilevel"/>
    <w:tmpl w:val="79529D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3BE8"/>
    <w:multiLevelType w:val="hybridMultilevel"/>
    <w:tmpl w:val="E57687C8"/>
    <w:lvl w:ilvl="0" w:tplc="23FE2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16"/>
  </w:num>
  <w:num w:numId="11">
    <w:abstractNumId w:val="2"/>
  </w:num>
  <w:num w:numId="12">
    <w:abstractNumId w:val="10"/>
  </w:num>
  <w:num w:numId="13">
    <w:abstractNumId w:val="8"/>
  </w:num>
  <w:num w:numId="14">
    <w:abstractNumId w:val="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18C4"/>
    <w:rsid w:val="00014CFE"/>
    <w:rsid w:val="00037418"/>
    <w:rsid w:val="00040CFB"/>
    <w:rsid w:val="00052071"/>
    <w:rsid w:val="000539CB"/>
    <w:rsid w:val="00054658"/>
    <w:rsid w:val="00085480"/>
    <w:rsid w:val="000B7C86"/>
    <w:rsid w:val="000C60AA"/>
    <w:rsid w:val="000D3FED"/>
    <w:rsid w:val="000D7CF8"/>
    <w:rsid w:val="00115436"/>
    <w:rsid w:val="00115A2B"/>
    <w:rsid w:val="00123130"/>
    <w:rsid w:val="00151BDD"/>
    <w:rsid w:val="00161B32"/>
    <w:rsid w:val="001867E9"/>
    <w:rsid w:val="001A0E88"/>
    <w:rsid w:val="001A0EA6"/>
    <w:rsid w:val="001C016B"/>
    <w:rsid w:val="001D7F3D"/>
    <w:rsid w:val="001E720B"/>
    <w:rsid w:val="00210ED4"/>
    <w:rsid w:val="002160C2"/>
    <w:rsid w:val="002166C4"/>
    <w:rsid w:val="00237B46"/>
    <w:rsid w:val="00251A65"/>
    <w:rsid w:val="00285F5B"/>
    <w:rsid w:val="002953CC"/>
    <w:rsid w:val="002A6C47"/>
    <w:rsid w:val="002B7EEB"/>
    <w:rsid w:val="002C6E7F"/>
    <w:rsid w:val="00303F8F"/>
    <w:rsid w:val="003057E0"/>
    <w:rsid w:val="00380A72"/>
    <w:rsid w:val="003F3AF0"/>
    <w:rsid w:val="0045503C"/>
    <w:rsid w:val="00472D2B"/>
    <w:rsid w:val="004C2CC8"/>
    <w:rsid w:val="004D48E8"/>
    <w:rsid w:val="00531CA4"/>
    <w:rsid w:val="00565BA4"/>
    <w:rsid w:val="00571AA5"/>
    <w:rsid w:val="00584B1D"/>
    <w:rsid w:val="00605CAB"/>
    <w:rsid w:val="0063791F"/>
    <w:rsid w:val="006411A6"/>
    <w:rsid w:val="006B204F"/>
    <w:rsid w:val="006B26E1"/>
    <w:rsid w:val="006C5530"/>
    <w:rsid w:val="006E2790"/>
    <w:rsid w:val="006E364F"/>
    <w:rsid w:val="0073782E"/>
    <w:rsid w:val="0075722D"/>
    <w:rsid w:val="00783E6E"/>
    <w:rsid w:val="007B0324"/>
    <w:rsid w:val="007B72D4"/>
    <w:rsid w:val="007F7896"/>
    <w:rsid w:val="008100B1"/>
    <w:rsid w:val="00895D5A"/>
    <w:rsid w:val="008A270C"/>
    <w:rsid w:val="008C6FB9"/>
    <w:rsid w:val="0092319A"/>
    <w:rsid w:val="009279D1"/>
    <w:rsid w:val="009516BB"/>
    <w:rsid w:val="00952E48"/>
    <w:rsid w:val="009563ED"/>
    <w:rsid w:val="00972881"/>
    <w:rsid w:val="009D26C3"/>
    <w:rsid w:val="009D52AF"/>
    <w:rsid w:val="009D6154"/>
    <w:rsid w:val="009E5214"/>
    <w:rsid w:val="009E718E"/>
    <w:rsid w:val="009F34DB"/>
    <w:rsid w:val="00A04748"/>
    <w:rsid w:val="00A05FA7"/>
    <w:rsid w:val="00A35E9C"/>
    <w:rsid w:val="00A554C8"/>
    <w:rsid w:val="00A9192D"/>
    <w:rsid w:val="00AB18F4"/>
    <w:rsid w:val="00AC77EF"/>
    <w:rsid w:val="00AD3425"/>
    <w:rsid w:val="00AE07D1"/>
    <w:rsid w:val="00AF303A"/>
    <w:rsid w:val="00B2403B"/>
    <w:rsid w:val="00B27B4F"/>
    <w:rsid w:val="00B55997"/>
    <w:rsid w:val="00B826A4"/>
    <w:rsid w:val="00B86ED1"/>
    <w:rsid w:val="00B9787B"/>
    <w:rsid w:val="00B97A78"/>
    <w:rsid w:val="00BB7D4D"/>
    <w:rsid w:val="00BC1DBB"/>
    <w:rsid w:val="00BC4801"/>
    <w:rsid w:val="00BE5225"/>
    <w:rsid w:val="00C8413A"/>
    <w:rsid w:val="00CA5FB4"/>
    <w:rsid w:val="00CB093D"/>
    <w:rsid w:val="00CB1898"/>
    <w:rsid w:val="00CB4BC6"/>
    <w:rsid w:val="00CC42BA"/>
    <w:rsid w:val="00CC6E50"/>
    <w:rsid w:val="00D0147D"/>
    <w:rsid w:val="00D04831"/>
    <w:rsid w:val="00D102B6"/>
    <w:rsid w:val="00D544EB"/>
    <w:rsid w:val="00D74995"/>
    <w:rsid w:val="00DB29D5"/>
    <w:rsid w:val="00DB64A2"/>
    <w:rsid w:val="00DC0ED4"/>
    <w:rsid w:val="00DF0987"/>
    <w:rsid w:val="00E20570"/>
    <w:rsid w:val="00E63468"/>
    <w:rsid w:val="00E71CEB"/>
    <w:rsid w:val="00E77790"/>
    <w:rsid w:val="00E83918"/>
    <w:rsid w:val="00E866B7"/>
    <w:rsid w:val="00EA4465"/>
    <w:rsid w:val="00EB3E71"/>
    <w:rsid w:val="00EB6EE6"/>
    <w:rsid w:val="00EC0D5D"/>
    <w:rsid w:val="00ED09FF"/>
    <w:rsid w:val="00ED5FCB"/>
    <w:rsid w:val="00F23D65"/>
    <w:rsid w:val="00F4663F"/>
    <w:rsid w:val="00F91832"/>
    <w:rsid w:val="00FB700E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F97710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16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E7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CB0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16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9516BB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semiHidden/>
    <w:unhideWhenUsed/>
    <w:rsid w:val="00AD3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trasmissione.bandi.regione.umbria.it.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erviziinrete.regione.umbria.i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exp@exp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ttp/trasmissione.bandi.regione.umbria.it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smissione.bandi.regione.umbr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9</cp:revision>
  <cp:lastPrinted>2019-02-08T08:40:00Z</cp:lastPrinted>
  <dcterms:created xsi:type="dcterms:W3CDTF">2020-09-02T14:16:00Z</dcterms:created>
  <dcterms:modified xsi:type="dcterms:W3CDTF">2020-10-15T13:54:00Z</dcterms:modified>
</cp:coreProperties>
</file>