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B5D24" w14:textId="0ED0DFA1" w:rsidR="00451E21" w:rsidRDefault="00217122" w:rsidP="00451E21">
      <w:pPr>
        <w:autoSpaceDE w:val="0"/>
        <w:autoSpaceDN w:val="0"/>
        <w:adjustRightInd w:val="0"/>
        <w:rPr>
          <w:rFonts w:asciiTheme="majorHAnsi" w:hAnsiTheme="majorHAnsi" w:cstheme="majorHAnsi"/>
          <w:b/>
          <w:bCs/>
          <w:color w:val="000000"/>
        </w:rPr>
      </w:pPr>
      <w:r>
        <w:rPr>
          <w:rFonts w:ascii="Calibri" w:hAnsi="Calibri" w:cs="Calibri"/>
          <w:b/>
          <w:bCs/>
          <w:noProof/>
          <w:sz w:val="22"/>
          <w:szCs w:val="22"/>
        </w:rPr>
        <mc:AlternateContent>
          <mc:Choice Requires="wps">
            <w:drawing>
              <wp:anchor distT="0" distB="0" distL="114300" distR="114300" simplePos="0" relativeHeight="251657728" behindDoc="0" locked="0" layoutInCell="1" allowOverlap="1" wp14:anchorId="036903AB" wp14:editId="053BF6A3">
                <wp:simplePos x="0" y="0"/>
                <wp:positionH relativeFrom="column">
                  <wp:posOffset>-936625</wp:posOffset>
                </wp:positionH>
                <wp:positionV relativeFrom="paragraph">
                  <wp:posOffset>-304800</wp:posOffset>
                </wp:positionV>
                <wp:extent cx="7610475" cy="45720"/>
                <wp:effectExtent l="0" t="0" r="0" b="0"/>
                <wp:wrapNone/>
                <wp:docPr id="5" name="Segno di sott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0475" cy="45720"/>
                        </a:xfrm>
                        <a:prstGeom prst="mathMinus">
                          <a:avLst/>
                        </a:prstGeom>
                        <a:solidFill>
                          <a:srgbClr val="205394"/>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E9DD5" id="Segno di sottrazione 5" o:spid="_x0000_s1026" style="position:absolute;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" path="m1008768,17483r5592939,l6601707,28237r-5592939,l1008768,17483xe" fillcolor="#205394" strokecolor="#385d8a" strokeweight="1pt">
                <v:path arrowok="t" o:connecttype="custom" o:connectlocs="1008768,17483;6601707,17483;6601707,28237;1008768,28237;1008768,17483" o:connectangles="0,0,0,0,0"/>
              </v:shape>
            </w:pict>
          </mc:Fallback>
        </mc:AlternateContent>
      </w:r>
      <w:r w:rsidR="00451E21" w:rsidRPr="00451E21">
        <w:rPr>
          <w:rFonts w:asciiTheme="majorHAnsi" w:hAnsiTheme="majorHAnsi" w:cstheme="majorHAnsi"/>
          <w:b/>
          <w:bCs/>
          <w:color w:val="000000"/>
        </w:rPr>
        <w:t xml:space="preserve"> </w:t>
      </w:r>
      <w:r w:rsidR="00451E21" w:rsidRPr="00EA2BF0">
        <w:rPr>
          <w:rFonts w:asciiTheme="majorHAnsi" w:hAnsiTheme="majorHAnsi" w:cstheme="majorHAnsi"/>
          <w:b/>
          <w:bCs/>
          <w:color w:val="000000"/>
        </w:rPr>
        <w:t>Superbonus</w:t>
      </w:r>
      <w:r w:rsidR="00451E21">
        <w:rPr>
          <w:rFonts w:asciiTheme="majorHAnsi" w:hAnsiTheme="majorHAnsi" w:cstheme="majorHAnsi"/>
          <w:b/>
          <w:bCs/>
          <w:color w:val="000000"/>
        </w:rPr>
        <w:t>: l</w:t>
      </w:r>
      <w:r w:rsidR="00451E21" w:rsidRPr="00EA2BF0">
        <w:rPr>
          <w:rFonts w:asciiTheme="majorHAnsi" w:hAnsiTheme="majorHAnsi" w:cstheme="majorHAnsi"/>
          <w:b/>
          <w:bCs/>
          <w:color w:val="000000"/>
        </w:rPr>
        <w:t>’</w:t>
      </w:r>
      <w:r w:rsidR="00451E21">
        <w:rPr>
          <w:rFonts w:asciiTheme="majorHAnsi" w:hAnsiTheme="majorHAnsi" w:cstheme="majorHAnsi"/>
          <w:b/>
          <w:bCs/>
          <w:color w:val="000000"/>
        </w:rPr>
        <w:t>A</w:t>
      </w:r>
      <w:r w:rsidR="00451E21" w:rsidRPr="00EA2BF0">
        <w:rPr>
          <w:rFonts w:asciiTheme="majorHAnsi" w:hAnsiTheme="majorHAnsi" w:cstheme="majorHAnsi"/>
          <w:b/>
          <w:bCs/>
          <w:color w:val="000000"/>
        </w:rPr>
        <w:t xml:space="preserve">genzia delle Entrate aggiorna le FAQ </w:t>
      </w:r>
    </w:p>
    <w:p w14:paraId="71E8D217" w14:textId="1000EEAB" w:rsidR="00FC7629" w:rsidRDefault="00C17932" w:rsidP="00C3700B">
      <w:pPr>
        <w:rPr>
          <w:rFonts w:ascii="Calibri" w:hAnsi="Calibri" w:cs="Calibri Light"/>
          <w:b/>
          <w:bCs/>
          <w:sz w:val="22"/>
          <w:szCs w:val="22"/>
        </w:rPr>
      </w:pPr>
      <w:r w:rsidRPr="00E44565">
        <w:rPr>
          <w:rFonts w:ascii="Calibri" w:hAnsi="Calibri" w:cs="Calibri Light"/>
          <w:b/>
          <w:bCs/>
          <w:sz w:val="22"/>
          <w:szCs w:val="22"/>
        </w:rPr>
        <w:t xml:space="preserve"> </w:t>
      </w:r>
    </w:p>
    <w:p w14:paraId="7922EE7A" w14:textId="4C23ACFD" w:rsidR="000B520B" w:rsidRDefault="000B520B" w:rsidP="00C3700B">
      <w:pPr>
        <w:rPr>
          <w:rFonts w:ascii="Calibri" w:hAnsi="Calibri" w:cs="Calibri Light"/>
          <w:b/>
          <w:bCs/>
          <w:sz w:val="22"/>
          <w:szCs w:val="22"/>
        </w:rPr>
      </w:pPr>
    </w:p>
    <w:p w14:paraId="0FB04AB1" w14:textId="75C5C7C6" w:rsidR="000B520B" w:rsidRPr="000B520B" w:rsidRDefault="00451E21" w:rsidP="00C3700B">
      <w:pPr>
        <w:rPr>
          <w:rFonts w:ascii="Calibri" w:hAnsi="Calibri" w:cs="Calibri Light"/>
          <w:sz w:val="22"/>
          <w:szCs w:val="22"/>
        </w:rPr>
      </w:pPr>
      <w:r w:rsidRPr="00451E21">
        <w:rPr>
          <w:rFonts w:ascii="Calibri" w:hAnsi="Calibri" w:cs="Calibri Light"/>
          <w:sz w:val="22"/>
          <w:szCs w:val="22"/>
        </w:rPr>
        <w:t>Chiarimenti sulle questioni di maggior interesse</w:t>
      </w:r>
    </w:p>
    <w:p w14:paraId="52702568" w14:textId="77777777" w:rsidR="00E44565" w:rsidRPr="00451E21" w:rsidRDefault="00E44565" w:rsidP="00C3700B">
      <w:pPr>
        <w:rPr>
          <w:rFonts w:asciiTheme="minorHAnsi" w:hAnsiTheme="minorHAnsi" w:cstheme="minorHAnsi"/>
          <w:b/>
          <w:bCs/>
          <w:sz w:val="22"/>
          <w:szCs w:val="22"/>
        </w:rPr>
      </w:pPr>
    </w:p>
    <w:p w14:paraId="63775692"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r w:rsidRPr="00451E21">
        <w:rPr>
          <w:rFonts w:asciiTheme="minorHAnsi" w:hAnsiTheme="minorHAnsi" w:cstheme="minorHAnsi"/>
          <w:color w:val="000000"/>
          <w:sz w:val="22"/>
          <w:szCs w:val="22"/>
        </w:rPr>
        <w:t xml:space="preserve">Ok al Superbonus al 110% anche in caso di </w:t>
      </w:r>
      <w:proofErr w:type="spellStart"/>
      <w:r w:rsidRPr="00451E21">
        <w:rPr>
          <w:rFonts w:asciiTheme="minorHAnsi" w:hAnsiTheme="minorHAnsi" w:cstheme="minorHAnsi"/>
          <w:i/>
          <w:iCs/>
          <w:color w:val="000000"/>
          <w:sz w:val="22"/>
          <w:szCs w:val="22"/>
        </w:rPr>
        <w:t>Sismabonus</w:t>
      </w:r>
      <w:proofErr w:type="spellEnd"/>
      <w:r w:rsidRPr="00451E21">
        <w:rPr>
          <w:rFonts w:asciiTheme="minorHAnsi" w:hAnsiTheme="minorHAnsi" w:cstheme="minorHAnsi"/>
          <w:i/>
          <w:iCs/>
          <w:color w:val="000000"/>
          <w:sz w:val="22"/>
          <w:szCs w:val="22"/>
        </w:rPr>
        <w:t xml:space="preserve"> acquisti</w:t>
      </w:r>
      <w:r w:rsidRPr="00451E21">
        <w:rPr>
          <w:rFonts w:asciiTheme="minorHAnsi" w:hAnsiTheme="minorHAnsi" w:cstheme="minorHAnsi"/>
          <w:color w:val="000000"/>
          <w:sz w:val="22"/>
          <w:szCs w:val="22"/>
        </w:rPr>
        <w:t xml:space="preserve"> per l’acquirente di un immobile situato in zona sismica 1, 2 e 3, demolito e ricostruito e successivamente venduto da un’impresa di costruzione. Ammesso il bonus potenziato anche per gli interventi su immobili “collabenti” e per le seconde case. Confermata, inoltre, la possibilità di fruire dell’agevolazione anche per gli interventi su villette a schiera, purché funzionalmente indipendenti e dotate di uno o più accessi autonomi dall’esterno.</w:t>
      </w:r>
    </w:p>
    <w:p w14:paraId="74411619"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p>
    <w:p w14:paraId="7FF9AEF8"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r w:rsidRPr="00451E21">
        <w:rPr>
          <w:rFonts w:asciiTheme="minorHAnsi" w:hAnsiTheme="minorHAnsi" w:cstheme="minorHAnsi"/>
          <w:color w:val="000000"/>
          <w:sz w:val="22"/>
          <w:szCs w:val="22"/>
        </w:rPr>
        <w:t>L’Agenzia delle Entrate ha così aggiornato</w:t>
      </w:r>
      <w:r w:rsidRPr="00451E21">
        <w:rPr>
          <w:rFonts w:asciiTheme="minorHAnsi" w:hAnsiTheme="minorHAnsi" w:cstheme="minorHAnsi"/>
          <w:color w:val="0066CD"/>
          <w:sz w:val="22"/>
          <w:szCs w:val="22"/>
        </w:rPr>
        <w:t xml:space="preserve"> </w:t>
      </w:r>
      <w:r w:rsidRPr="00451E21">
        <w:rPr>
          <w:rFonts w:asciiTheme="minorHAnsi" w:hAnsiTheme="minorHAnsi" w:cstheme="minorHAnsi"/>
          <w:color w:val="000000"/>
          <w:sz w:val="22"/>
          <w:szCs w:val="22"/>
        </w:rPr>
        <w:t>le FAQ sul Superbonus al 110%, contenute nell’area tematica dedicata, raccogliendo alcune delle principali risposte ad interpello rese sul tema.</w:t>
      </w:r>
    </w:p>
    <w:p w14:paraId="28BA63E5"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p>
    <w:p w14:paraId="11970F27"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r w:rsidRPr="00451E21">
        <w:rPr>
          <w:rFonts w:asciiTheme="minorHAnsi" w:hAnsiTheme="minorHAnsi" w:cstheme="minorHAnsi"/>
          <w:color w:val="000000"/>
          <w:sz w:val="22"/>
          <w:szCs w:val="22"/>
        </w:rPr>
        <w:t xml:space="preserve">Tra i numerosi chiarimenti, si segnala la conferma che in caso di opzione per lo sconto sul corrispettivo, il fornitore, ove non faccia uno sconto corrispondente all’intera spesa sostenuta dal beneficiario, può applicare anche uno sconto parziale. In tal caso, sulla parte di spesa rimasta a suo carico, il contribuente potrà detrarre le spese restanti oppure cedere il credito corrispondente ad altri soggetti, inclusi istituti di credito e altri intermediari finanziari. </w:t>
      </w:r>
    </w:p>
    <w:p w14:paraId="6B2CFF2A"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p>
    <w:p w14:paraId="3845F0B5" w14:textId="77777777" w:rsidR="00451E21" w:rsidRPr="00451E21" w:rsidRDefault="00451E21" w:rsidP="00451E21">
      <w:pPr>
        <w:autoSpaceDE w:val="0"/>
        <w:autoSpaceDN w:val="0"/>
        <w:adjustRightInd w:val="0"/>
        <w:rPr>
          <w:rFonts w:asciiTheme="minorHAnsi" w:hAnsiTheme="minorHAnsi" w:cstheme="minorHAnsi"/>
          <w:color w:val="000000"/>
          <w:sz w:val="22"/>
          <w:szCs w:val="22"/>
        </w:rPr>
      </w:pPr>
      <w:r w:rsidRPr="00451E21">
        <w:rPr>
          <w:rFonts w:asciiTheme="minorHAnsi" w:hAnsiTheme="minorHAnsi" w:cstheme="minorHAnsi"/>
          <w:color w:val="000000"/>
          <w:sz w:val="22"/>
          <w:szCs w:val="22"/>
        </w:rPr>
        <w:t>E ancora, ammessa la possibilità di accedere al Superbonus per:</w:t>
      </w:r>
    </w:p>
    <w:p w14:paraId="6E3032BB" w14:textId="77777777" w:rsidR="00451E21" w:rsidRPr="00451E21" w:rsidRDefault="00451E21" w:rsidP="00451E21">
      <w:pPr>
        <w:pStyle w:val="Paragrafoelenco"/>
        <w:numPr>
          <w:ilvl w:val="0"/>
          <w:numId w:val="31"/>
        </w:numPr>
        <w:autoSpaceDE w:val="0"/>
        <w:autoSpaceDN w:val="0"/>
        <w:adjustRightInd w:val="0"/>
        <w:spacing w:after="0" w:line="240" w:lineRule="auto"/>
        <w:rPr>
          <w:rFonts w:asciiTheme="minorHAnsi" w:hAnsiTheme="minorHAnsi" w:cstheme="minorHAnsi"/>
          <w:color w:val="000000"/>
        </w:rPr>
      </w:pPr>
      <w:r w:rsidRPr="00451E21">
        <w:rPr>
          <w:rFonts w:asciiTheme="minorHAnsi" w:hAnsiTheme="minorHAnsi" w:cstheme="minorHAnsi"/>
          <w:color w:val="000000"/>
        </w:rPr>
        <w:t>l’acquirente di unità immobiliari situate in zone sismiche 1, 2 e 3, demolite e ricostruite da imprese di costruzioni con miglioramento di classe sismica e vendute entro 18 mesi dalla fine lavori (</w:t>
      </w:r>
      <w:proofErr w:type="spellStart"/>
      <w:r w:rsidRPr="00451E21">
        <w:rPr>
          <w:rFonts w:asciiTheme="minorHAnsi" w:hAnsiTheme="minorHAnsi" w:cstheme="minorHAnsi"/>
          <w:i/>
          <w:iCs/>
          <w:color w:val="000000"/>
        </w:rPr>
        <w:t>Sismabonus</w:t>
      </w:r>
      <w:proofErr w:type="spellEnd"/>
      <w:r w:rsidRPr="00451E21">
        <w:rPr>
          <w:rFonts w:asciiTheme="minorHAnsi" w:hAnsiTheme="minorHAnsi" w:cstheme="minorHAnsi"/>
          <w:i/>
          <w:iCs/>
          <w:color w:val="000000"/>
        </w:rPr>
        <w:t xml:space="preserve"> acquisti</w:t>
      </w:r>
      <w:r w:rsidRPr="00451E21">
        <w:rPr>
          <w:rFonts w:asciiTheme="minorHAnsi" w:hAnsiTheme="minorHAnsi" w:cstheme="minorHAnsi"/>
          <w:color w:val="000000"/>
        </w:rPr>
        <w:t>). In tale caso viene ribadito che il beneficiario ha anche la facoltà di optare per lo sconto in fattura o per la cessione del credito;</w:t>
      </w:r>
    </w:p>
    <w:p w14:paraId="4A172E1D" w14:textId="77777777" w:rsidR="00451E21" w:rsidRPr="00451E21" w:rsidRDefault="00451E21" w:rsidP="00451E21">
      <w:pPr>
        <w:pStyle w:val="Paragrafoelenco"/>
        <w:numPr>
          <w:ilvl w:val="0"/>
          <w:numId w:val="31"/>
        </w:numPr>
        <w:autoSpaceDE w:val="0"/>
        <w:autoSpaceDN w:val="0"/>
        <w:adjustRightInd w:val="0"/>
        <w:spacing w:after="0" w:line="240" w:lineRule="auto"/>
        <w:rPr>
          <w:rFonts w:asciiTheme="minorHAnsi" w:hAnsiTheme="minorHAnsi" w:cstheme="minorHAnsi"/>
          <w:color w:val="000000"/>
        </w:rPr>
      </w:pPr>
      <w:r w:rsidRPr="00451E21">
        <w:rPr>
          <w:rFonts w:asciiTheme="minorHAnsi" w:hAnsiTheme="minorHAnsi" w:cstheme="minorHAnsi"/>
          <w:color w:val="000000"/>
        </w:rPr>
        <w:t>il detentore dell’immobile in comodato d’uso, a condizione che il contratto sia regolarmente registrato al momento dell’inizio dei lavori o al momento del sostenimento delle spese se antecedente, e che il comodatario sia in possesso del consenso all'esecuzione dei lavori da parte del proprietario;</w:t>
      </w:r>
    </w:p>
    <w:p w14:paraId="7650E3E0" w14:textId="77777777" w:rsidR="00451E21" w:rsidRPr="00451E21" w:rsidRDefault="00451E21" w:rsidP="00451E21">
      <w:pPr>
        <w:pStyle w:val="Paragrafoelenco"/>
        <w:numPr>
          <w:ilvl w:val="0"/>
          <w:numId w:val="31"/>
        </w:numPr>
        <w:autoSpaceDE w:val="0"/>
        <w:autoSpaceDN w:val="0"/>
        <w:adjustRightInd w:val="0"/>
        <w:spacing w:after="0" w:line="240" w:lineRule="auto"/>
        <w:rPr>
          <w:rFonts w:asciiTheme="minorHAnsi" w:hAnsiTheme="minorHAnsi" w:cstheme="minorHAnsi"/>
          <w:color w:val="000000"/>
        </w:rPr>
      </w:pPr>
      <w:r w:rsidRPr="00451E21">
        <w:rPr>
          <w:rFonts w:asciiTheme="minorHAnsi" w:hAnsiTheme="minorHAnsi" w:cstheme="minorHAnsi"/>
          <w:color w:val="000000"/>
        </w:rPr>
        <w:t>interventi effettuati su immobili classificati nella categoria catastale F/2;</w:t>
      </w:r>
    </w:p>
    <w:p w14:paraId="1843044F" w14:textId="77777777" w:rsidR="00451E21" w:rsidRPr="00451E21" w:rsidRDefault="00451E21" w:rsidP="00451E21">
      <w:pPr>
        <w:pStyle w:val="Paragrafoelenco"/>
        <w:numPr>
          <w:ilvl w:val="0"/>
          <w:numId w:val="31"/>
        </w:numPr>
        <w:autoSpaceDE w:val="0"/>
        <w:autoSpaceDN w:val="0"/>
        <w:adjustRightInd w:val="0"/>
        <w:spacing w:after="0" w:line="240" w:lineRule="auto"/>
        <w:rPr>
          <w:rFonts w:asciiTheme="minorHAnsi" w:hAnsiTheme="minorHAnsi" w:cstheme="minorHAnsi"/>
          <w:color w:val="000000"/>
        </w:rPr>
      </w:pPr>
      <w:r w:rsidRPr="00451E21">
        <w:rPr>
          <w:rFonts w:asciiTheme="minorHAnsi" w:hAnsiTheme="minorHAnsi" w:cstheme="minorHAnsi"/>
          <w:color w:val="000000"/>
        </w:rPr>
        <w:t>interventi realizzati sulle “seconde” case, non vigendo nella disciplina attuale alcuna limitazione in merito alla casa adibita ad abitazione principale; lavori di efficientamento energetico effettuati sulle cosiddette “villette a schiera”</w:t>
      </w:r>
      <w:r w:rsidRPr="00451E21">
        <w:rPr>
          <w:rFonts w:asciiTheme="minorHAnsi" w:hAnsiTheme="minorHAnsi" w:cstheme="minorHAnsi"/>
          <w:color w:val="0066CD"/>
        </w:rPr>
        <w:t xml:space="preserve"> </w:t>
      </w:r>
      <w:r w:rsidRPr="00451E21">
        <w:rPr>
          <w:rFonts w:asciiTheme="minorHAnsi" w:hAnsiTheme="minorHAnsi" w:cstheme="minorHAnsi"/>
          <w:color w:val="000000"/>
        </w:rPr>
        <w:t>purché nel rispetto di ogni condizione richiesta dalla norma agevolativa, incluso il fatto che la villetta a schiera sia funzionalmente indipendente (dotata cioè di allaccio di acqua, gas, elettricità, riscaldamento, eccetera, di proprietà esclusiva) e abbia uno o più accessi autonomi dall’esterno.</w:t>
      </w:r>
    </w:p>
    <w:p w14:paraId="7E5E3C8A" w14:textId="77777777" w:rsidR="00C17932" w:rsidRPr="003E052B" w:rsidRDefault="00C17932" w:rsidP="00C17932">
      <w:pPr>
        <w:rPr>
          <w:rFonts w:asciiTheme="minorHAnsi" w:hAnsiTheme="minorHAnsi" w:cstheme="minorHAnsi"/>
          <w:color w:val="1C2024"/>
          <w:sz w:val="22"/>
          <w:szCs w:val="22"/>
        </w:rPr>
      </w:pPr>
    </w:p>
    <w:p w14:paraId="29236C75" w14:textId="77777777" w:rsidR="00C17932" w:rsidRDefault="00C17932" w:rsidP="008009D5">
      <w:pPr>
        <w:tabs>
          <w:tab w:val="left" w:pos="720"/>
          <w:tab w:val="left" w:pos="900"/>
          <w:tab w:val="left" w:pos="1260"/>
          <w:tab w:val="left" w:pos="5580"/>
          <w:tab w:val="left" w:pos="6120"/>
        </w:tabs>
        <w:ind w:right="-2"/>
        <w:rPr>
          <w:rFonts w:ascii="Calibri" w:hAnsi="Calibri" w:cs="Calibri"/>
          <w:color w:val="1C2024"/>
          <w:sz w:val="22"/>
          <w:szCs w:val="22"/>
        </w:rPr>
      </w:pPr>
    </w:p>
    <w:p w14:paraId="7C7AA374" w14:textId="3EC510D4"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7"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451E21"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451E21">
        <w:rPr>
          <w:rFonts w:ascii="Calibri" w:hAnsi="Calibri" w:cs="Calibri"/>
          <w:sz w:val="22"/>
          <w:szCs w:val="22"/>
          <w:lang w:val="en-US"/>
        </w:rPr>
        <w:t xml:space="preserve">Email: </w:t>
      </w:r>
      <w:hyperlink r:id="rId8" w:history="1">
        <w:r w:rsidRPr="00451E21">
          <w:rPr>
            <w:rFonts w:ascii="Calibri" w:hAnsi="Calibri" w:cs="Calibri"/>
            <w:color w:val="0000FF"/>
            <w:sz w:val="22"/>
            <w:szCs w:val="22"/>
            <w:u w:val="single"/>
            <w:lang w:val="en-US"/>
          </w:rPr>
          <w:t>vignaroli@confindustria.umbria.it</w:t>
        </w:r>
      </w:hyperlink>
      <w:r w:rsidRPr="00451E21">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lastRenderedPageBreak/>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t>Email</w:t>
      </w:r>
      <w:proofErr w:type="gramEnd"/>
      <w:r w:rsidRPr="00A82347">
        <w:rPr>
          <w:rFonts w:ascii="Calibri" w:hAnsi="Calibri" w:cs="Calibri"/>
          <w:sz w:val="22"/>
          <w:szCs w:val="22"/>
        </w:rPr>
        <w:t>: </w:t>
      </w:r>
      <w:hyperlink r:id="rId9"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5500511B"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3E052B">
        <w:rPr>
          <w:rFonts w:ascii="Calibri" w:hAnsi="Calibri" w:cs="Calibri"/>
          <w:sz w:val="22"/>
          <w:szCs w:val="22"/>
        </w:rPr>
        <w:t>01</w:t>
      </w:r>
      <w:r w:rsidR="00A66B46" w:rsidRPr="00A00EBE">
        <w:rPr>
          <w:rFonts w:ascii="Calibri" w:hAnsi="Calibri" w:cs="Calibri"/>
          <w:sz w:val="22"/>
          <w:szCs w:val="22"/>
        </w:rPr>
        <w:t>/</w:t>
      </w:r>
      <w:r w:rsidR="003E052B">
        <w:rPr>
          <w:rFonts w:ascii="Calibri" w:hAnsi="Calibri" w:cs="Calibri"/>
          <w:sz w:val="22"/>
          <w:szCs w:val="22"/>
        </w:rPr>
        <w:t>10</w:t>
      </w:r>
      <w:r w:rsidR="00A66B46" w:rsidRPr="00A00EBE">
        <w:rPr>
          <w:rFonts w:ascii="Calibri" w:hAnsi="Calibri" w:cs="Calibri"/>
          <w:sz w:val="22"/>
          <w:szCs w:val="22"/>
        </w:rPr>
        <w:t>/2020</w:t>
      </w:r>
    </w:p>
    <w:sectPr w:rsidR="00783E6E"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AC4F" w14:textId="77777777" w:rsidR="00D46820" w:rsidRDefault="00D46820">
      <w:r>
        <w:separator/>
      </w:r>
    </w:p>
  </w:endnote>
  <w:endnote w:type="continuationSeparator" w:id="0">
    <w:p w14:paraId="2CDFE150" w14:textId="77777777" w:rsidR="00D46820" w:rsidRDefault="00D4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48B3F" w14:textId="77777777" w:rsidR="00D46820" w:rsidRDefault="00D46820">
      <w:r>
        <w:separator/>
      </w:r>
    </w:p>
  </w:footnote>
  <w:footnote w:type="continuationSeparator" w:id="0">
    <w:p w14:paraId="50F0961D" w14:textId="77777777" w:rsidR="00D46820" w:rsidRDefault="00D4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00592B2B" w:rsidR="001867E9" w:rsidRDefault="00217122">
          <w:pPr>
            <w:tabs>
              <w:tab w:val="left" w:pos="720"/>
              <w:tab w:val="left" w:pos="900"/>
              <w:tab w:val="left" w:pos="1260"/>
              <w:tab w:val="left" w:pos="1980"/>
            </w:tabs>
          </w:pPr>
          <w:r>
            <w:rPr>
              <w:noProof/>
              <w:color w:val="205394"/>
            </w:rPr>
            <w:drawing>
              <wp:inline distT="0" distB="0" distL="0" distR="0" wp14:anchorId="6656F282" wp14:editId="5D577CBC">
                <wp:extent cx="523875" cy="49530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1A492D"/>
    <w:multiLevelType w:val="hybridMultilevel"/>
    <w:tmpl w:val="14EAA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9"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20"/>
  </w:num>
  <w:num w:numId="2">
    <w:abstractNumId w:val="17"/>
  </w:num>
  <w:num w:numId="3">
    <w:abstractNumId w:val="21"/>
  </w:num>
  <w:num w:numId="4">
    <w:abstractNumId w:val="12"/>
  </w:num>
  <w:num w:numId="5">
    <w:abstractNumId w:val="2"/>
  </w:num>
  <w:num w:numId="6">
    <w:abstractNumId w:val="13"/>
  </w:num>
  <w:num w:numId="7">
    <w:abstractNumId w:val="16"/>
  </w:num>
  <w:num w:numId="8">
    <w:abstractNumId w:val="25"/>
  </w:num>
  <w:num w:numId="9">
    <w:abstractNumId w:val="29"/>
  </w:num>
  <w:num w:numId="10">
    <w:abstractNumId w:val="24"/>
  </w:num>
  <w:num w:numId="11">
    <w:abstractNumId w:val="14"/>
  </w:num>
  <w:num w:numId="12">
    <w:abstractNumId w:val="22"/>
  </w:num>
  <w:num w:numId="13">
    <w:abstractNumId w:val="6"/>
  </w:num>
  <w:num w:numId="14">
    <w:abstractNumId w:val="11"/>
  </w:num>
  <w:num w:numId="15">
    <w:abstractNumId w:val="0"/>
  </w:num>
  <w:num w:numId="16">
    <w:abstractNumId w:val="3"/>
  </w:num>
  <w:num w:numId="17">
    <w:abstractNumId w:val="18"/>
  </w:num>
  <w:num w:numId="18">
    <w:abstractNumId w:val="1"/>
  </w:num>
  <w:num w:numId="19">
    <w:abstractNumId w:val="26"/>
  </w:num>
  <w:num w:numId="20">
    <w:abstractNumId w:val="19"/>
  </w:num>
  <w:num w:numId="21">
    <w:abstractNumId w:val="8"/>
  </w:num>
  <w:num w:numId="22">
    <w:abstractNumId w:val="28"/>
  </w:num>
  <w:num w:numId="23">
    <w:abstractNumId w:val="15"/>
  </w:num>
  <w:num w:numId="24">
    <w:abstractNumId w:val="9"/>
  </w:num>
  <w:num w:numId="25">
    <w:abstractNumId w:val="5"/>
  </w:num>
  <w:num w:numId="26">
    <w:abstractNumId w:val="7"/>
  </w:num>
  <w:num w:numId="27">
    <w:abstractNumId w:val="27"/>
  </w:num>
  <w:num w:numId="28">
    <w:abstractNumId w:val="23"/>
  </w:num>
  <w:num w:numId="29">
    <w:abstractNumId w:val="10"/>
  </w:num>
  <w:num w:numId="30">
    <w:abstractNumId w:val="30"/>
  </w:num>
  <w:num w:numId="3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452"/>
    <w:rsid w:val="0009085F"/>
    <w:rsid w:val="00091677"/>
    <w:rsid w:val="00094BA5"/>
    <w:rsid w:val="000A323E"/>
    <w:rsid w:val="000A39AE"/>
    <w:rsid w:val="000B06C6"/>
    <w:rsid w:val="000B2103"/>
    <w:rsid w:val="000B520B"/>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16BD5"/>
    <w:rsid w:val="00217122"/>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2E6758"/>
    <w:rsid w:val="00300CDB"/>
    <w:rsid w:val="00306EA7"/>
    <w:rsid w:val="003114C4"/>
    <w:rsid w:val="00322729"/>
    <w:rsid w:val="00322EE8"/>
    <w:rsid w:val="00326815"/>
    <w:rsid w:val="003347DC"/>
    <w:rsid w:val="003360E9"/>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052B"/>
    <w:rsid w:val="003E5874"/>
    <w:rsid w:val="0041047E"/>
    <w:rsid w:val="0041177C"/>
    <w:rsid w:val="0042052A"/>
    <w:rsid w:val="0042117E"/>
    <w:rsid w:val="004353E3"/>
    <w:rsid w:val="004414A4"/>
    <w:rsid w:val="00442812"/>
    <w:rsid w:val="004435C3"/>
    <w:rsid w:val="00445DF1"/>
    <w:rsid w:val="00451E2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D5498"/>
    <w:rsid w:val="004E0C94"/>
    <w:rsid w:val="004E62C8"/>
    <w:rsid w:val="004F2D22"/>
    <w:rsid w:val="00517FCD"/>
    <w:rsid w:val="00520F32"/>
    <w:rsid w:val="0053112D"/>
    <w:rsid w:val="00531CA4"/>
    <w:rsid w:val="00532215"/>
    <w:rsid w:val="00532542"/>
    <w:rsid w:val="00534BD4"/>
    <w:rsid w:val="00546306"/>
    <w:rsid w:val="00552D0E"/>
    <w:rsid w:val="0055654F"/>
    <w:rsid w:val="005615FE"/>
    <w:rsid w:val="00565BA4"/>
    <w:rsid w:val="00570DF9"/>
    <w:rsid w:val="00571AA5"/>
    <w:rsid w:val="00580D22"/>
    <w:rsid w:val="005952A0"/>
    <w:rsid w:val="005A2FBD"/>
    <w:rsid w:val="005A6420"/>
    <w:rsid w:val="005A68AC"/>
    <w:rsid w:val="005B68CD"/>
    <w:rsid w:val="005B7323"/>
    <w:rsid w:val="005C488C"/>
    <w:rsid w:val="005D2783"/>
    <w:rsid w:val="005D3F4A"/>
    <w:rsid w:val="005D58C7"/>
    <w:rsid w:val="005E05F4"/>
    <w:rsid w:val="005E29D1"/>
    <w:rsid w:val="005E2A6A"/>
    <w:rsid w:val="005E5E6F"/>
    <w:rsid w:val="005E694F"/>
    <w:rsid w:val="005E7FCE"/>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22B7"/>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27BC"/>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316C"/>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1B00"/>
    <w:rsid w:val="009A3F24"/>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93510"/>
    <w:rsid w:val="00AA3206"/>
    <w:rsid w:val="00AA755B"/>
    <w:rsid w:val="00AA7A03"/>
    <w:rsid w:val="00AB5961"/>
    <w:rsid w:val="00AB71C8"/>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C10A7A"/>
    <w:rsid w:val="00C13B4C"/>
    <w:rsid w:val="00C17932"/>
    <w:rsid w:val="00C24A9A"/>
    <w:rsid w:val="00C27714"/>
    <w:rsid w:val="00C3700B"/>
    <w:rsid w:val="00C433AC"/>
    <w:rsid w:val="00C46AA6"/>
    <w:rsid w:val="00C5003A"/>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4D11"/>
    <w:rsid w:val="00D46820"/>
    <w:rsid w:val="00D46D8F"/>
    <w:rsid w:val="00D50F2A"/>
    <w:rsid w:val="00D54D0D"/>
    <w:rsid w:val="00D551CF"/>
    <w:rsid w:val="00D66BBB"/>
    <w:rsid w:val="00D70745"/>
    <w:rsid w:val="00D71FF5"/>
    <w:rsid w:val="00D74092"/>
    <w:rsid w:val="00D74880"/>
    <w:rsid w:val="00D77E54"/>
    <w:rsid w:val="00DA26BC"/>
    <w:rsid w:val="00DA4273"/>
    <w:rsid w:val="00DA5995"/>
    <w:rsid w:val="00DB3985"/>
    <w:rsid w:val="00DB4953"/>
    <w:rsid w:val="00DC0ED4"/>
    <w:rsid w:val="00DC7F97"/>
    <w:rsid w:val="00DD019F"/>
    <w:rsid w:val="00DE3413"/>
    <w:rsid w:val="00DE72E8"/>
    <w:rsid w:val="00DF5163"/>
    <w:rsid w:val="00DF7579"/>
    <w:rsid w:val="00E00F2C"/>
    <w:rsid w:val="00E07BDC"/>
    <w:rsid w:val="00E15415"/>
    <w:rsid w:val="00E20570"/>
    <w:rsid w:val="00E209CB"/>
    <w:rsid w:val="00E25D34"/>
    <w:rsid w:val="00E273B4"/>
    <w:rsid w:val="00E31E8B"/>
    <w:rsid w:val="00E36D39"/>
    <w:rsid w:val="00E44565"/>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C7629"/>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78856004">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855262631">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agnino@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330</TotalTime>
  <Pages>2</Pages>
  <Words>470</Words>
  <Characters>2680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3144</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14</cp:revision>
  <cp:lastPrinted>2019-02-27T17:41:00Z</cp:lastPrinted>
  <dcterms:created xsi:type="dcterms:W3CDTF">2020-09-15T10:19:00Z</dcterms:created>
  <dcterms:modified xsi:type="dcterms:W3CDTF">2020-10-01T11:45:00Z</dcterms:modified>
</cp:coreProperties>
</file>