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7227" w14:textId="5C7A8B2C" w:rsidR="000A58AB" w:rsidRPr="009C250B" w:rsidRDefault="009C250B" w:rsidP="000A58A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1"/>
          <w:szCs w:val="21"/>
        </w:rPr>
      </w:pPr>
      <w:r w:rsidRPr="009C250B">
        <w:rPr>
          <w:rFonts w:ascii="Calibri" w:hAnsi="Calibri" w:cs="Calibri"/>
          <w:b/>
          <w:bCs/>
          <w:sz w:val="21"/>
          <w:szCs w:val="21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0A58AB" w:rsidRPr="009C250B">
        <w:rPr>
          <w:rFonts w:ascii="Calibri" w:hAnsi="Calibri" w:cs="Calibri"/>
          <w:b/>
          <w:bCs/>
          <w:sz w:val="21"/>
          <w:szCs w:val="21"/>
        </w:rPr>
        <w:t>Renovation Wave: forte impulso UE alla rigenerazione urbana e alla riqualificazione degli edifici</w:t>
      </w:r>
    </w:p>
    <w:p w14:paraId="1D7D24C7" w14:textId="77777777" w:rsidR="000A58AB" w:rsidRPr="009C250B" w:rsidRDefault="000A58AB" w:rsidP="000A58AB">
      <w:pPr>
        <w:shd w:val="clear" w:color="auto" w:fill="FFFFFF"/>
        <w:ind w:left="142"/>
        <w:rPr>
          <w:rFonts w:ascii="Calibri" w:hAnsi="Calibri" w:cs="Calibri"/>
          <w:sz w:val="21"/>
          <w:szCs w:val="21"/>
        </w:rPr>
      </w:pPr>
    </w:p>
    <w:p w14:paraId="64F89B44" w14:textId="6128FD49" w:rsidR="000A58AB" w:rsidRPr="009C250B" w:rsidRDefault="000A58AB" w:rsidP="000A58AB">
      <w:pPr>
        <w:shd w:val="clear" w:color="auto" w:fill="FFFFFF"/>
        <w:ind w:left="142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Richiesta l’adozione di misure per rigenerare su ampia scala le città e l’ambiente costruito</w:t>
      </w:r>
    </w:p>
    <w:p w14:paraId="2295A9C0" w14:textId="77777777" w:rsidR="000A58AB" w:rsidRPr="009C250B" w:rsidRDefault="000A58AB" w:rsidP="000A58AB">
      <w:pPr>
        <w:shd w:val="clear" w:color="auto" w:fill="FFFFFF"/>
        <w:ind w:left="142"/>
        <w:rPr>
          <w:rFonts w:ascii="Calibri" w:hAnsi="Calibri" w:cs="Calibri"/>
          <w:sz w:val="21"/>
          <w:szCs w:val="21"/>
        </w:rPr>
      </w:pPr>
    </w:p>
    <w:p w14:paraId="427F6881" w14:textId="77777777" w:rsidR="000A58AB" w:rsidRPr="009C250B" w:rsidRDefault="000A58AB" w:rsidP="000A58AB">
      <w:pPr>
        <w:shd w:val="clear" w:color="auto" w:fill="FFFFFF"/>
        <w:ind w:left="142"/>
        <w:jc w:val="center"/>
        <w:rPr>
          <w:rFonts w:ascii="Calibri" w:hAnsi="Calibri" w:cs="Calibri"/>
          <w:sz w:val="21"/>
          <w:szCs w:val="21"/>
        </w:rPr>
      </w:pPr>
    </w:p>
    <w:p w14:paraId="2CD8EEE9" w14:textId="7DE82EC1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Adottare misure per rigenerare su ampia scala le città e l’ambiente costruito anche attraverso una forte spinta alla riqualificazione degli edifici, con il Super</w:t>
      </w:r>
      <w:r w:rsidR="00C56BAC" w:rsidRPr="009C250B">
        <w:rPr>
          <w:rFonts w:ascii="Calibri" w:hAnsi="Calibri" w:cs="Calibri"/>
          <w:sz w:val="21"/>
          <w:szCs w:val="21"/>
        </w:rPr>
        <w:t>b</w:t>
      </w:r>
      <w:r w:rsidRPr="009C250B">
        <w:rPr>
          <w:rFonts w:ascii="Calibri" w:hAnsi="Calibri" w:cs="Calibri"/>
          <w:sz w:val="21"/>
          <w:szCs w:val="21"/>
        </w:rPr>
        <w:t>onus 110%. Questa la richiesta dell’Ue che ha lanciato la Renovation Wave, un programma strategico per il Green Deal.</w:t>
      </w:r>
    </w:p>
    <w:p w14:paraId="19523684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</w:p>
    <w:p w14:paraId="02021F94" w14:textId="7D4CB13C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 xml:space="preserve">La Commissione UE ha pubblicato la sua </w:t>
      </w:r>
      <w:r w:rsidR="00C56BAC" w:rsidRPr="009C250B">
        <w:rPr>
          <w:rFonts w:ascii="Calibri" w:hAnsi="Calibri" w:cs="Calibri"/>
          <w:sz w:val="21"/>
          <w:szCs w:val="21"/>
        </w:rPr>
        <w:t>s</w:t>
      </w:r>
      <w:r w:rsidRPr="009C250B">
        <w:rPr>
          <w:rFonts w:ascii="Calibri" w:hAnsi="Calibri" w:cs="Calibri"/>
          <w:sz w:val="21"/>
          <w:szCs w:val="21"/>
        </w:rPr>
        <w:t>trategia per un’</w:t>
      </w:r>
      <w:r w:rsidR="00C56BAC" w:rsidRPr="009C250B">
        <w:rPr>
          <w:rFonts w:ascii="Calibri" w:hAnsi="Calibri" w:cs="Calibri"/>
          <w:sz w:val="21"/>
          <w:szCs w:val="21"/>
        </w:rPr>
        <w:t>o</w:t>
      </w:r>
      <w:r w:rsidRPr="009C250B">
        <w:rPr>
          <w:rFonts w:ascii="Calibri" w:hAnsi="Calibri" w:cs="Calibri"/>
          <w:sz w:val="21"/>
          <w:szCs w:val="21"/>
        </w:rPr>
        <w:t>ndata di ristrutturazioni in Europa al fine di migliorare il rendimento energetico degli edifici, mirando a raddoppiare almeno i tassi di ristrutturazione nei prossimi dieci anni e a garantire che le ristrutturazioni portino ad un aumento dell'efficienza energetica e delle risorse.</w:t>
      </w:r>
    </w:p>
    <w:p w14:paraId="26821808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</w:p>
    <w:p w14:paraId="67E0A547" w14:textId="631D704F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Attraverso la nuova </w:t>
      </w:r>
      <w:r w:rsidRPr="009C250B">
        <w:rPr>
          <w:rFonts w:ascii="Calibri" w:hAnsi="Calibri" w:cs="Calibri"/>
          <w:b/>
          <w:bCs/>
          <w:sz w:val="21"/>
          <w:szCs w:val="21"/>
        </w:rPr>
        <w:t>Strategia sull’</w:t>
      </w:r>
      <w:r w:rsidR="00C56BAC" w:rsidRPr="009C250B">
        <w:rPr>
          <w:rFonts w:ascii="Calibri" w:hAnsi="Calibri" w:cs="Calibri"/>
          <w:b/>
          <w:bCs/>
          <w:sz w:val="21"/>
          <w:szCs w:val="21"/>
        </w:rPr>
        <w:t>o</w:t>
      </w:r>
      <w:r w:rsidRPr="009C250B">
        <w:rPr>
          <w:rFonts w:ascii="Calibri" w:hAnsi="Calibri" w:cs="Calibri"/>
          <w:b/>
          <w:bCs/>
          <w:sz w:val="21"/>
          <w:szCs w:val="21"/>
        </w:rPr>
        <w:t>ndata di ristrutturazioni in Europa</w:t>
      </w:r>
      <w:r w:rsidRPr="009C250B">
        <w:rPr>
          <w:rFonts w:ascii="Calibri" w:hAnsi="Calibri" w:cs="Calibri"/>
          <w:sz w:val="21"/>
          <w:szCs w:val="21"/>
        </w:rPr>
        <w:t>, la Commissione Europea intende </w:t>
      </w:r>
      <w:r w:rsidRPr="009C250B">
        <w:rPr>
          <w:rFonts w:ascii="Calibri" w:hAnsi="Calibri" w:cs="Calibri"/>
          <w:b/>
          <w:bCs/>
          <w:sz w:val="21"/>
          <w:szCs w:val="21"/>
        </w:rPr>
        <w:t>migliorare la qualità della vita delle persone</w:t>
      </w:r>
      <w:r w:rsidRPr="009C250B">
        <w:rPr>
          <w:rFonts w:ascii="Calibri" w:hAnsi="Calibri" w:cs="Calibri"/>
          <w:sz w:val="21"/>
          <w:szCs w:val="21"/>
        </w:rPr>
        <w:t> che vivono e utilizzano gli edifici, </w:t>
      </w:r>
      <w:r w:rsidRPr="009C250B">
        <w:rPr>
          <w:rFonts w:ascii="Calibri" w:hAnsi="Calibri" w:cs="Calibri"/>
          <w:b/>
          <w:bCs/>
          <w:sz w:val="21"/>
          <w:szCs w:val="21"/>
        </w:rPr>
        <w:t>ridurre le emissioni di gas</w:t>
      </w:r>
      <w:r w:rsidRPr="009C250B">
        <w:rPr>
          <w:rFonts w:ascii="Calibri" w:hAnsi="Calibri" w:cs="Calibri"/>
          <w:sz w:val="21"/>
          <w:szCs w:val="21"/>
        </w:rPr>
        <w:t> a effetto serra in Europa, </w:t>
      </w:r>
      <w:r w:rsidRPr="009C250B">
        <w:rPr>
          <w:rFonts w:ascii="Calibri" w:hAnsi="Calibri" w:cs="Calibri"/>
          <w:b/>
          <w:bCs/>
          <w:sz w:val="21"/>
          <w:szCs w:val="21"/>
        </w:rPr>
        <w:t>promuovere la digitalizzazione</w:t>
      </w:r>
      <w:r w:rsidRPr="009C250B">
        <w:rPr>
          <w:rFonts w:ascii="Calibri" w:hAnsi="Calibri" w:cs="Calibri"/>
          <w:sz w:val="21"/>
          <w:szCs w:val="21"/>
        </w:rPr>
        <w:t> e </w:t>
      </w:r>
      <w:r w:rsidRPr="009C250B">
        <w:rPr>
          <w:rFonts w:ascii="Calibri" w:hAnsi="Calibri" w:cs="Calibri"/>
          <w:b/>
          <w:bCs/>
          <w:sz w:val="21"/>
          <w:szCs w:val="21"/>
        </w:rPr>
        <w:t>migliorare il riutilizzo e il riciclaggio dei materiali</w:t>
      </w:r>
      <w:r w:rsidRPr="009C250B">
        <w:rPr>
          <w:rFonts w:ascii="Calibri" w:hAnsi="Calibri" w:cs="Calibri"/>
          <w:sz w:val="21"/>
          <w:szCs w:val="21"/>
        </w:rPr>
        <w:t>. Entro il 2030</w:t>
      </w:r>
      <w:r w:rsidRPr="009C250B">
        <w:rPr>
          <w:rFonts w:ascii="Calibri" w:hAnsi="Calibri" w:cs="Calibri"/>
          <w:b/>
          <w:bCs/>
          <w:sz w:val="21"/>
          <w:szCs w:val="21"/>
        </w:rPr>
        <w:t>, 35 milioni di edifici </w:t>
      </w:r>
      <w:r w:rsidRPr="009C250B">
        <w:rPr>
          <w:rFonts w:ascii="Calibri" w:hAnsi="Calibri" w:cs="Calibri"/>
          <w:sz w:val="21"/>
          <w:szCs w:val="21"/>
        </w:rPr>
        <w:t>potrebbero essere ristrutturati e potrebbero essere creati altri </w:t>
      </w:r>
      <w:r w:rsidRPr="009C250B">
        <w:rPr>
          <w:rFonts w:ascii="Calibri" w:hAnsi="Calibri" w:cs="Calibri"/>
          <w:b/>
          <w:bCs/>
          <w:sz w:val="21"/>
          <w:szCs w:val="21"/>
        </w:rPr>
        <w:t>160.000 posti di lavoro verdi</w:t>
      </w:r>
      <w:r w:rsidRPr="009C250B">
        <w:rPr>
          <w:rFonts w:ascii="Calibri" w:hAnsi="Calibri" w:cs="Calibri"/>
          <w:sz w:val="21"/>
          <w:szCs w:val="21"/>
        </w:rPr>
        <w:t> nel settore delle costruzioni.</w:t>
      </w:r>
    </w:p>
    <w:p w14:paraId="30317261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</w:p>
    <w:p w14:paraId="73FDC80E" w14:textId="3FEE874A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Gli edifici sono responsabili di circa il 40% del consumo energetico dell'UE e del 36% delle emissioni di gas a effetto serra. Ma </w:t>
      </w:r>
      <w:r w:rsidRPr="009C250B">
        <w:rPr>
          <w:rFonts w:ascii="Calibri" w:hAnsi="Calibri" w:cs="Calibri"/>
          <w:b/>
          <w:bCs/>
          <w:sz w:val="21"/>
          <w:szCs w:val="21"/>
        </w:rPr>
        <w:t>solo l'1 per cento degli edifici subisce ogni anno ristrutturazioni efficienti sotto il profilo energetico</w:t>
      </w:r>
      <w:r w:rsidRPr="009C250B">
        <w:rPr>
          <w:rFonts w:ascii="Calibri" w:hAnsi="Calibri" w:cs="Calibri"/>
          <w:sz w:val="21"/>
          <w:szCs w:val="21"/>
        </w:rPr>
        <w:t xml:space="preserve">, per cui un'azione efficace è fondamentale per rendere l'Europa neutrale dal punto di vista climatico entro il 2050. A tal riguardo, nel corso della conferenza stampa, i rappresentanti della Commissione hanno anche fatto riferimento al Superbonus 110%, attualmente in vigore in Italia fino a </w:t>
      </w:r>
      <w:r w:rsidR="00C56BAC" w:rsidRPr="009C250B">
        <w:rPr>
          <w:rFonts w:ascii="Calibri" w:hAnsi="Calibri" w:cs="Calibri"/>
          <w:sz w:val="21"/>
          <w:szCs w:val="21"/>
        </w:rPr>
        <w:t>d</w:t>
      </w:r>
      <w:r w:rsidRPr="009C250B">
        <w:rPr>
          <w:rFonts w:ascii="Calibri" w:hAnsi="Calibri" w:cs="Calibri"/>
          <w:sz w:val="21"/>
          <w:szCs w:val="21"/>
        </w:rPr>
        <w:t>icembre 2021, come misura virtuosa a livello europeo.</w:t>
      </w:r>
    </w:p>
    <w:p w14:paraId="69F0B29A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</w:p>
    <w:p w14:paraId="52009EFA" w14:textId="3CC8FD85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Con quasi 34 milioni di europei che non possono permettersi di tenere riscaldate le loro case, le politiche pubbliche per promuovere un rinnovamento efficiente dell'energia sono anche una </w:t>
      </w:r>
      <w:r w:rsidRPr="009C250B">
        <w:rPr>
          <w:rFonts w:ascii="Calibri" w:hAnsi="Calibri" w:cs="Calibri"/>
          <w:b/>
          <w:bCs/>
          <w:sz w:val="21"/>
          <w:szCs w:val="21"/>
        </w:rPr>
        <w:t>risposta alla povertà energetica</w:t>
      </w:r>
      <w:r w:rsidRPr="009C250B">
        <w:rPr>
          <w:rFonts w:ascii="Calibri" w:hAnsi="Calibri" w:cs="Calibri"/>
          <w:sz w:val="21"/>
          <w:szCs w:val="21"/>
        </w:rPr>
        <w:t>, sostengono la salute e il benessere delle persone e contribuiscono a ridurre le loro bollette energetiche. La Commissione ha inoltre pubblicato una raccomandazione per gli Stati membri sulla lotta alla povertà energetica.</w:t>
      </w:r>
    </w:p>
    <w:p w14:paraId="7CDFBF46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</w:p>
    <w:p w14:paraId="2EB9D432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La strategia darà priorità all'azione in </w:t>
      </w:r>
      <w:r w:rsidRPr="009C250B">
        <w:rPr>
          <w:rFonts w:ascii="Calibri" w:hAnsi="Calibri" w:cs="Calibri"/>
          <w:b/>
          <w:bCs/>
          <w:sz w:val="21"/>
          <w:szCs w:val="21"/>
        </w:rPr>
        <w:t>tre settori</w:t>
      </w:r>
      <w:r w:rsidRPr="009C250B">
        <w:rPr>
          <w:rFonts w:ascii="Calibri" w:hAnsi="Calibri" w:cs="Calibri"/>
          <w:sz w:val="21"/>
          <w:szCs w:val="21"/>
        </w:rPr>
        <w:t>: la </w:t>
      </w:r>
      <w:r w:rsidRPr="009C250B">
        <w:rPr>
          <w:rFonts w:ascii="Calibri" w:hAnsi="Calibri" w:cs="Calibri"/>
          <w:b/>
          <w:bCs/>
          <w:sz w:val="21"/>
          <w:szCs w:val="21"/>
        </w:rPr>
        <w:t>decarbonizzazione</w:t>
      </w:r>
      <w:r w:rsidRPr="009C250B">
        <w:rPr>
          <w:rFonts w:ascii="Calibri" w:hAnsi="Calibri" w:cs="Calibri"/>
          <w:sz w:val="21"/>
          <w:szCs w:val="21"/>
        </w:rPr>
        <w:t> del riscaldamento e del raffreddamento, la </w:t>
      </w:r>
      <w:r w:rsidRPr="009C250B">
        <w:rPr>
          <w:rFonts w:ascii="Calibri" w:hAnsi="Calibri" w:cs="Calibri"/>
          <w:b/>
          <w:bCs/>
          <w:sz w:val="21"/>
          <w:szCs w:val="21"/>
        </w:rPr>
        <w:t>lotta contro la povertà energetica</w:t>
      </w:r>
      <w:r w:rsidRPr="009C250B">
        <w:rPr>
          <w:rFonts w:ascii="Calibri" w:hAnsi="Calibri" w:cs="Calibri"/>
          <w:sz w:val="21"/>
          <w:szCs w:val="21"/>
        </w:rPr>
        <w:t> e gli edifici con prestazioni peggiori e la </w:t>
      </w:r>
      <w:r w:rsidRPr="009C250B">
        <w:rPr>
          <w:rFonts w:ascii="Calibri" w:hAnsi="Calibri" w:cs="Calibri"/>
          <w:b/>
          <w:bCs/>
          <w:sz w:val="21"/>
          <w:szCs w:val="21"/>
        </w:rPr>
        <w:t>ristrutturazione di edifici pubblici</w:t>
      </w:r>
      <w:r w:rsidRPr="009C250B">
        <w:rPr>
          <w:rFonts w:ascii="Calibri" w:hAnsi="Calibri" w:cs="Calibri"/>
          <w:sz w:val="21"/>
          <w:szCs w:val="21"/>
        </w:rPr>
        <w:t> come scuole, ospedali e edifici amministrativi. La Commissione propone di </w:t>
      </w:r>
      <w:r w:rsidRPr="009C250B">
        <w:rPr>
          <w:rFonts w:ascii="Calibri" w:hAnsi="Calibri" w:cs="Calibri"/>
          <w:b/>
          <w:bCs/>
          <w:sz w:val="21"/>
          <w:szCs w:val="21"/>
        </w:rPr>
        <w:t>abbattere gli ostacoli esistenti lungo tutta la catena del rinnovamento</w:t>
      </w:r>
      <w:r w:rsidRPr="009C250B">
        <w:rPr>
          <w:rFonts w:ascii="Calibri" w:hAnsi="Calibri" w:cs="Calibri"/>
          <w:sz w:val="21"/>
          <w:szCs w:val="21"/>
        </w:rPr>
        <w:t> - dalla concezione di un progetto al suo finanziamento e completamento - con una serie di misure politiche, strumenti di finanziamento e strumenti di assistenza tecnica.</w:t>
      </w:r>
    </w:p>
    <w:p w14:paraId="2A0E4E11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sz w:val="21"/>
          <w:szCs w:val="21"/>
        </w:rPr>
      </w:pPr>
    </w:p>
    <w:p w14:paraId="01D5BC18" w14:textId="77777777" w:rsidR="000A58AB" w:rsidRPr="009C250B" w:rsidRDefault="000A58AB" w:rsidP="000A58AB">
      <w:pPr>
        <w:shd w:val="clear" w:color="auto" w:fill="FFFFFF"/>
        <w:ind w:left="142"/>
        <w:jc w:val="both"/>
        <w:rPr>
          <w:rFonts w:ascii="Calibri" w:hAnsi="Calibri" w:cs="Calibri"/>
          <w:b/>
          <w:bCs/>
          <w:sz w:val="21"/>
          <w:szCs w:val="21"/>
          <w:shd w:val="clear" w:color="auto" w:fill="FFFFFF"/>
        </w:rPr>
      </w:pPr>
      <w:r w:rsidRPr="009C250B">
        <w:rPr>
          <w:rFonts w:ascii="Calibri" w:hAnsi="Calibri" w:cs="Calibri"/>
          <w:sz w:val="21"/>
          <w:szCs w:val="21"/>
        </w:rPr>
        <w:t>La </w:t>
      </w:r>
      <w:r w:rsidRPr="009C250B">
        <w:rPr>
          <w:rFonts w:ascii="Calibri" w:hAnsi="Calibri" w:cs="Calibri"/>
          <w:b/>
          <w:bCs/>
          <w:sz w:val="21"/>
          <w:szCs w:val="21"/>
        </w:rPr>
        <w:t>Renovation Wave</w:t>
      </w:r>
      <w:r w:rsidRPr="009C250B">
        <w:rPr>
          <w:rFonts w:ascii="Calibri" w:hAnsi="Calibri" w:cs="Calibri"/>
          <w:sz w:val="21"/>
          <w:szCs w:val="21"/>
        </w:rPr>
        <w:t> non si limiterà a rendere gli edifici esistenti più efficienti dal punto di vista energetico e neutri dal punto di vista climatico, ma potrà innescare una </w:t>
      </w:r>
      <w:r w:rsidRPr="009C250B">
        <w:rPr>
          <w:rFonts w:ascii="Calibri" w:hAnsi="Calibri" w:cs="Calibri"/>
          <w:b/>
          <w:bCs/>
          <w:sz w:val="21"/>
          <w:szCs w:val="21"/>
        </w:rPr>
        <w:t>trasformazione su larga scala delle nostre città e dell'ambiente costruito</w:t>
      </w:r>
      <w:r w:rsidRPr="009C250B">
        <w:rPr>
          <w:rFonts w:ascii="Calibri" w:hAnsi="Calibri" w:cs="Calibri"/>
          <w:b/>
          <w:bCs/>
          <w:sz w:val="21"/>
          <w:szCs w:val="21"/>
          <w:shd w:val="clear" w:color="auto" w:fill="FFFFFF"/>
        </w:rPr>
        <w:t>.</w:t>
      </w:r>
    </w:p>
    <w:p w14:paraId="65D0F66F" w14:textId="1C8AEF72" w:rsidR="00B40291" w:rsidRPr="009C250B" w:rsidRDefault="00B40291" w:rsidP="000A58AB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  <w:sz w:val="21"/>
          <w:szCs w:val="21"/>
        </w:rPr>
      </w:pPr>
    </w:p>
    <w:p w14:paraId="559C0EBE" w14:textId="14D95700" w:rsidR="006411DF" w:rsidRPr="009C250B" w:rsidRDefault="006411DF" w:rsidP="000A58AB">
      <w:pPr>
        <w:pStyle w:val="NormaleWeb"/>
        <w:ind w:left="142"/>
        <w:jc w:val="both"/>
        <w:rPr>
          <w:rStyle w:val="Enfasigrassetto"/>
          <w:rFonts w:ascii="Calibri" w:hAnsi="Calibri" w:cs="Calibri"/>
          <w:sz w:val="21"/>
          <w:szCs w:val="21"/>
        </w:rPr>
      </w:pPr>
      <w:r w:rsidRPr="009C250B">
        <w:rPr>
          <w:rStyle w:val="Enfasigrassetto"/>
          <w:rFonts w:ascii="Calibri" w:hAnsi="Calibri" w:cs="Calibri"/>
          <w:sz w:val="21"/>
          <w:szCs w:val="21"/>
        </w:rPr>
        <w:t>Riferimenti:</w:t>
      </w:r>
    </w:p>
    <w:p w14:paraId="5EEE77D9" w14:textId="77777777" w:rsidR="006411DF" w:rsidRPr="009C250B" w:rsidRDefault="006411DF" w:rsidP="000A58AB">
      <w:pPr>
        <w:pStyle w:val="NormaleWeb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>ANCE UMBRIA</w:t>
      </w:r>
    </w:p>
    <w:p w14:paraId="7D78A98D" w14:textId="6B907D09" w:rsidR="006411DF" w:rsidRPr="009C250B" w:rsidRDefault="006411DF" w:rsidP="000A58AB">
      <w:pPr>
        <w:pStyle w:val="NormaleWeb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 xml:space="preserve">Perugia – </w:t>
      </w:r>
      <w:hyperlink r:id="rId7" w:history="1">
        <w:r w:rsidRPr="009C250B">
          <w:rPr>
            <w:rStyle w:val="Collegamentoipertestuale"/>
            <w:rFonts w:ascii="Calibri" w:hAnsi="Calibri" w:cs="Calibri"/>
            <w:color w:val="0033CC"/>
            <w:sz w:val="21"/>
            <w:szCs w:val="21"/>
          </w:rPr>
          <w:t>info@anceumbria.it</w:t>
        </w:r>
      </w:hyperlink>
      <w:r w:rsidRPr="009C250B">
        <w:rPr>
          <w:rFonts w:ascii="Calibri" w:hAnsi="Calibri" w:cs="Calibri"/>
          <w:sz w:val="21"/>
          <w:szCs w:val="21"/>
        </w:rPr>
        <w:t xml:space="preserve"> - Tel. 075/582751</w:t>
      </w:r>
    </w:p>
    <w:p w14:paraId="6A9803D9" w14:textId="2E31FD9A" w:rsidR="007930A8" w:rsidRPr="009C250B" w:rsidRDefault="006411DF" w:rsidP="000A58AB">
      <w:pPr>
        <w:pStyle w:val="NormaleWeb"/>
        <w:ind w:left="142"/>
        <w:jc w:val="both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 xml:space="preserve">Terni - </w:t>
      </w:r>
      <w:hyperlink r:id="rId8" w:history="1">
        <w:r w:rsidRPr="009C250B">
          <w:rPr>
            <w:rStyle w:val="Collegamentoipertestuale"/>
            <w:rFonts w:ascii="Calibri" w:hAnsi="Calibri" w:cs="Calibri"/>
            <w:color w:val="0033CC"/>
            <w:sz w:val="21"/>
            <w:szCs w:val="21"/>
          </w:rPr>
          <w:t>edilizia@confindustria.terni.it</w:t>
        </w:r>
      </w:hyperlink>
      <w:r w:rsidRPr="009C250B">
        <w:rPr>
          <w:rFonts w:ascii="Calibri" w:hAnsi="Calibri" w:cs="Calibri"/>
          <w:sz w:val="21"/>
          <w:szCs w:val="21"/>
        </w:rPr>
        <w:t xml:space="preserve"> - Tel. 0744/443411</w:t>
      </w:r>
    </w:p>
    <w:p w14:paraId="7FBCA73E" w14:textId="30F8D31A" w:rsidR="00783E6E" w:rsidRPr="009C250B" w:rsidRDefault="00952E48" w:rsidP="000A58A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1"/>
          <w:szCs w:val="21"/>
        </w:rPr>
      </w:pPr>
      <w:r w:rsidRPr="009C250B">
        <w:rPr>
          <w:rFonts w:ascii="Calibri" w:hAnsi="Calibri" w:cs="Calibri"/>
          <w:sz w:val="21"/>
          <w:szCs w:val="21"/>
        </w:rPr>
        <w:t xml:space="preserve">Pubblicato il </w:t>
      </w:r>
      <w:r w:rsidR="000A58AB" w:rsidRPr="009C250B">
        <w:rPr>
          <w:rFonts w:ascii="Calibri" w:hAnsi="Calibri" w:cs="Calibri"/>
          <w:sz w:val="21"/>
          <w:szCs w:val="21"/>
        </w:rPr>
        <w:t>15</w:t>
      </w:r>
      <w:r w:rsidR="0001169E" w:rsidRPr="009C250B">
        <w:rPr>
          <w:rFonts w:ascii="Calibri" w:hAnsi="Calibri" w:cs="Calibri"/>
          <w:sz w:val="21"/>
          <w:szCs w:val="21"/>
        </w:rPr>
        <w:t>/10</w:t>
      </w:r>
      <w:r w:rsidR="00FF799E" w:rsidRPr="009C250B">
        <w:rPr>
          <w:rFonts w:ascii="Calibri" w:hAnsi="Calibri" w:cs="Calibri"/>
          <w:sz w:val="21"/>
          <w:szCs w:val="21"/>
        </w:rPr>
        <w:t>/2020</w:t>
      </w:r>
    </w:p>
    <w:sectPr w:rsidR="00783E6E" w:rsidRPr="009C250B" w:rsidSect="00447DA0">
      <w:headerReference w:type="first" r:id="rId9"/>
      <w:footerReference w:type="first" r:id="rId10"/>
      <w:type w:val="continuous"/>
      <w:pgSz w:w="11906" w:h="16838" w:code="9"/>
      <w:pgMar w:top="993" w:right="1134" w:bottom="284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9FBB" w14:textId="77777777" w:rsidR="009C250B" w:rsidRDefault="009C250B">
      <w:r>
        <w:separator/>
      </w:r>
    </w:p>
  </w:endnote>
  <w:endnote w:type="continuationSeparator" w:id="0">
    <w:p w14:paraId="7DA43872" w14:textId="77777777" w:rsidR="009C250B" w:rsidRDefault="009C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98AA0" w14:textId="77777777" w:rsidR="009C250B" w:rsidRDefault="009C250B">
      <w:r>
        <w:separator/>
      </w:r>
    </w:p>
  </w:footnote>
  <w:footnote w:type="continuationSeparator" w:id="0">
    <w:p w14:paraId="61A618C9" w14:textId="77777777" w:rsidR="009C250B" w:rsidRDefault="009C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9C250B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3D1"/>
    <w:multiLevelType w:val="multilevel"/>
    <w:tmpl w:val="470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A91"/>
    <w:multiLevelType w:val="hybridMultilevel"/>
    <w:tmpl w:val="9B78D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B17"/>
    <w:multiLevelType w:val="hybridMultilevel"/>
    <w:tmpl w:val="CBC0295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D7029D9"/>
    <w:multiLevelType w:val="hybridMultilevel"/>
    <w:tmpl w:val="55B09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74CF"/>
    <w:multiLevelType w:val="hybridMultilevel"/>
    <w:tmpl w:val="DC4C127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87FDA"/>
    <w:multiLevelType w:val="multilevel"/>
    <w:tmpl w:val="50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F37CA"/>
    <w:multiLevelType w:val="hybridMultilevel"/>
    <w:tmpl w:val="ACA4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B3329"/>
    <w:multiLevelType w:val="multilevel"/>
    <w:tmpl w:val="BCB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003F9"/>
    <w:multiLevelType w:val="hybridMultilevel"/>
    <w:tmpl w:val="5394A83E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0297B"/>
    <w:multiLevelType w:val="hybridMultilevel"/>
    <w:tmpl w:val="0DC6C4E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E20488F"/>
    <w:multiLevelType w:val="multilevel"/>
    <w:tmpl w:val="A38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85291E"/>
    <w:multiLevelType w:val="hybridMultilevel"/>
    <w:tmpl w:val="4F26D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0508E"/>
    <w:multiLevelType w:val="multilevel"/>
    <w:tmpl w:val="3A1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A4982"/>
    <w:multiLevelType w:val="multilevel"/>
    <w:tmpl w:val="82A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F16C87"/>
    <w:multiLevelType w:val="hybridMultilevel"/>
    <w:tmpl w:val="8F5A164A"/>
    <w:lvl w:ilvl="0" w:tplc="5292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3F54D4"/>
    <w:multiLevelType w:val="multilevel"/>
    <w:tmpl w:val="127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92179"/>
    <w:multiLevelType w:val="hybridMultilevel"/>
    <w:tmpl w:val="208A9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A0B7B"/>
    <w:multiLevelType w:val="multilevel"/>
    <w:tmpl w:val="2396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653BB"/>
    <w:multiLevelType w:val="multilevel"/>
    <w:tmpl w:val="D3C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81D29"/>
    <w:multiLevelType w:val="multilevel"/>
    <w:tmpl w:val="EF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A60AC7"/>
    <w:multiLevelType w:val="multilevel"/>
    <w:tmpl w:val="6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3055B"/>
    <w:multiLevelType w:val="multilevel"/>
    <w:tmpl w:val="564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B3BBF"/>
    <w:multiLevelType w:val="multilevel"/>
    <w:tmpl w:val="7F7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052889"/>
    <w:multiLevelType w:val="hybridMultilevel"/>
    <w:tmpl w:val="D332C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A171F"/>
    <w:multiLevelType w:val="multilevel"/>
    <w:tmpl w:val="5F4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93450"/>
    <w:multiLevelType w:val="multilevel"/>
    <w:tmpl w:val="3D30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C7BC6"/>
    <w:multiLevelType w:val="hybridMultilevel"/>
    <w:tmpl w:val="15A021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72E2F"/>
    <w:multiLevelType w:val="hybridMultilevel"/>
    <w:tmpl w:val="0EF0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30"/>
  </w:num>
  <w:num w:numId="5">
    <w:abstractNumId w:val="29"/>
  </w:num>
  <w:num w:numId="6">
    <w:abstractNumId w:val="1"/>
  </w:num>
  <w:num w:numId="7">
    <w:abstractNumId w:val="33"/>
  </w:num>
  <w:num w:numId="8">
    <w:abstractNumId w:val="17"/>
  </w:num>
  <w:num w:numId="9">
    <w:abstractNumId w:val="24"/>
  </w:num>
  <w:num w:numId="10">
    <w:abstractNumId w:val="31"/>
  </w:num>
  <w:num w:numId="11">
    <w:abstractNumId w:val="22"/>
  </w:num>
  <w:num w:numId="12">
    <w:abstractNumId w:val="6"/>
  </w:num>
  <w:num w:numId="13">
    <w:abstractNumId w:val="7"/>
  </w:num>
  <w:num w:numId="14">
    <w:abstractNumId w:val="26"/>
  </w:num>
  <w:num w:numId="15">
    <w:abstractNumId w:val="8"/>
  </w:num>
  <w:num w:numId="16">
    <w:abstractNumId w:val="23"/>
  </w:num>
  <w:num w:numId="17">
    <w:abstractNumId w:val="13"/>
  </w:num>
  <w:num w:numId="18">
    <w:abstractNumId w:val="16"/>
  </w:num>
  <w:num w:numId="19">
    <w:abstractNumId w:val="4"/>
  </w:num>
  <w:num w:numId="20">
    <w:abstractNumId w:val="12"/>
  </w:num>
  <w:num w:numId="21">
    <w:abstractNumId w:val="32"/>
  </w:num>
  <w:num w:numId="22">
    <w:abstractNumId w:val="2"/>
  </w:num>
  <w:num w:numId="23">
    <w:abstractNumId w:val="5"/>
  </w:num>
  <w:num w:numId="24">
    <w:abstractNumId w:val="20"/>
  </w:num>
  <w:num w:numId="25">
    <w:abstractNumId w:val="3"/>
  </w:num>
  <w:num w:numId="26">
    <w:abstractNumId w:val="0"/>
  </w:num>
  <w:num w:numId="27">
    <w:abstractNumId w:val="25"/>
  </w:num>
  <w:num w:numId="28">
    <w:abstractNumId w:val="21"/>
  </w:num>
  <w:num w:numId="29">
    <w:abstractNumId w:val="15"/>
  </w:num>
  <w:num w:numId="30">
    <w:abstractNumId w:val="14"/>
  </w:num>
  <w:num w:numId="31">
    <w:abstractNumId w:val="27"/>
  </w:num>
  <w:num w:numId="32">
    <w:abstractNumId w:val="19"/>
  </w:num>
  <w:num w:numId="33">
    <w:abstractNumId w:val="28"/>
  </w:num>
  <w:num w:numId="3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04499"/>
    <w:rsid w:val="0001169E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2F25"/>
    <w:rsid w:val="000539CB"/>
    <w:rsid w:val="00053A2C"/>
    <w:rsid w:val="000614F9"/>
    <w:rsid w:val="000625BE"/>
    <w:rsid w:val="000637F2"/>
    <w:rsid w:val="000703BF"/>
    <w:rsid w:val="0007297F"/>
    <w:rsid w:val="000742BE"/>
    <w:rsid w:val="00080ADD"/>
    <w:rsid w:val="00087150"/>
    <w:rsid w:val="0009085F"/>
    <w:rsid w:val="000A58AB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1BF"/>
    <w:rsid w:val="002A6DFD"/>
    <w:rsid w:val="002B3446"/>
    <w:rsid w:val="002B5E47"/>
    <w:rsid w:val="002B7EEB"/>
    <w:rsid w:val="002D246E"/>
    <w:rsid w:val="002D2B28"/>
    <w:rsid w:val="002E4047"/>
    <w:rsid w:val="002F44A9"/>
    <w:rsid w:val="00300CDB"/>
    <w:rsid w:val="00306EA7"/>
    <w:rsid w:val="003114C4"/>
    <w:rsid w:val="00315031"/>
    <w:rsid w:val="00315091"/>
    <w:rsid w:val="00322EE8"/>
    <w:rsid w:val="00326815"/>
    <w:rsid w:val="003347DC"/>
    <w:rsid w:val="003361DA"/>
    <w:rsid w:val="0034265F"/>
    <w:rsid w:val="00344B54"/>
    <w:rsid w:val="00363BF8"/>
    <w:rsid w:val="003646F3"/>
    <w:rsid w:val="003702D1"/>
    <w:rsid w:val="00371573"/>
    <w:rsid w:val="003721E0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0620"/>
    <w:rsid w:val="003E5874"/>
    <w:rsid w:val="003F1228"/>
    <w:rsid w:val="0041047E"/>
    <w:rsid w:val="0041177C"/>
    <w:rsid w:val="00417C79"/>
    <w:rsid w:val="0042052A"/>
    <w:rsid w:val="004353E3"/>
    <w:rsid w:val="004435C3"/>
    <w:rsid w:val="00447DA0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459C"/>
    <w:rsid w:val="005276B5"/>
    <w:rsid w:val="0053112D"/>
    <w:rsid w:val="00531CA4"/>
    <w:rsid w:val="00532542"/>
    <w:rsid w:val="00534E4E"/>
    <w:rsid w:val="00546306"/>
    <w:rsid w:val="00551BCE"/>
    <w:rsid w:val="00560648"/>
    <w:rsid w:val="005615FE"/>
    <w:rsid w:val="00565BA4"/>
    <w:rsid w:val="00570DF9"/>
    <w:rsid w:val="00571AA5"/>
    <w:rsid w:val="00572355"/>
    <w:rsid w:val="00572EC8"/>
    <w:rsid w:val="00580492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27603"/>
    <w:rsid w:val="00633A04"/>
    <w:rsid w:val="00634F54"/>
    <w:rsid w:val="006370DF"/>
    <w:rsid w:val="006411A6"/>
    <w:rsid w:val="006411DF"/>
    <w:rsid w:val="00646791"/>
    <w:rsid w:val="00654840"/>
    <w:rsid w:val="00670BC9"/>
    <w:rsid w:val="00673C44"/>
    <w:rsid w:val="00684F34"/>
    <w:rsid w:val="00686CD4"/>
    <w:rsid w:val="0069445C"/>
    <w:rsid w:val="00696623"/>
    <w:rsid w:val="006A03F2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4C9D"/>
    <w:rsid w:val="0075722D"/>
    <w:rsid w:val="00760A45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D4E5D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617BD"/>
    <w:rsid w:val="00876261"/>
    <w:rsid w:val="0089242A"/>
    <w:rsid w:val="00895D5A"/>
    <w:rsid w:val="008B3432"/>
    <w:rsid w:val="008B5620"/>
    <w:rsid w:val="008C21F3"/>
    <w:rsid w:val="008C6FB9"/>
    <w:rsid w:val="008E4D83"/>
    <w:rsid w:val="008E602C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2025"/>
    <w:rsid w:val="009C20B0"/>
    <w:rsid w:val="009C250B"/>
    <w:rsid w:val="009C5511"/>
    <w:rsid w:val="009C66FF"/>
    <w:rsid w:val="009D0AE2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0291"/>
    <w:rsid w:val="00B44EC6"/>
    <w:rsid w:val="00B55997"/>
    <w:rsid w:val="00B56F41"/>
    <w:rsid w:val="00B71AF1"/>
    <w:rsid w:val="00B74B3D"/>
    <w:rsid w:val="00B90950"/>
    <w:rsid w:val="00B913CE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14437"/>
    <w:rsid w:val="00C27714"/>
    <w:rsid w:val="00C433AC"/>
    <w:rsid w:val="00C46AA6"/>
    <w:rsid w:val="00C5394A"/>
    <w:rsid w:val="00C56BAC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149E"/>
    <w:rsid w:val="00CC1909"/>
    <w:rsid w:val="00CC42BA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621C"/>
    <w:rsid w:val="00D77E54"/>
    <w:rsid w:val="00D8096B"/>
    <w:rsid w:val="00D9275A"/>
    <w:rsid w:val="00DA4273"/>
    <w:rsid w:val="00DA5995"/>
    <w:rsid w:val="00DB3985"/>
    <w:rsid w:val="00DB4953"/>
    <w:rsid w:val="00DB6234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641E5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5B95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3557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4</cp:revision>
  <cp:lastPrinted>2019-02-27T17:41:00Z</cp:lastPrinted>
  <dcterms:created xsi:type="dcterms:W3CDTF">2020-10-15T09:02:00Z</dcterms:created>
  <dcterms:modified xsi:type="dcterms:W3CDTF">2020-10-15T11:59:00Z</dcterms:modified>
</cp:coreProperties>
</file>