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B5D24" w14:textId="1FCA7B0E" w:rsidR="00451E21" w:rsidRPr="00C5371C" w:rsidRDefault="00217122" w:rsidP="00451E21">
      <w:pPr>
        <w:autoSpaceDE w:val="0"/>
        <w:autoSpaceDN w:val="0"/>
        <w:adjustRightInd w:val="0"/>
        <w:rPr>
          <w:rFonts w:asciiTheme="minorHAnsi" w:hAnsiTheme="minorHAnsi" w:cstheme="minorHAnsi"/>
          <w:b/>
          <w:bCs/>
          <w:color w:val="000000"/>
          <w:sz w:val="22"/>
          <w:szCs w:val="22"/>
        </w:rPr>
      </w:pPr>
      <w:r w:rsidRPr="00C5371C">
        <w:rPr>
          <w:rFonts w:asciiTheme="minorHAnsi" w:hAnsiTheme="minorHAnsi" w:cstheme="minorHAnsi"/>
          <w:b/>
          <w:bCs/>
          <w:noProof/>
          <w:sz w:val="22"/>
          <w:szCs w:val="22"/>
        </w:rPr>
        <mc:AlternateContent>
          <mc:Choice Requires="wps">
            <w:drawing>
              <wp:anchor distT="0" distB="0" distL="114300" distR="114300" simplePos="0" relativeHeight="251657728" behindDoc="0" locked="0" layoutInCell="1" allowOverlap="1" wp14:anchorId="036903AB" wp14:editId="053BF6A3">
                <wp:simplePos x="0" y="0"/>
                <wp:positionH relativeFrom="column">
                  <wp:posOffset>-936625</wp:posOffset>
                </wp:positionH>
                <wp:positionV relativeFrom="paragraph">
                  <wp:posOffset>-304800</wp:posOffset>
                </wp:positionV>
                <wp:extent cx="7610475" cy="45720"/>
                <wp:effectExtent l="0" t="0" r="0" b="0"/>
                <wp:wrapNone/>
                <wp:docPr id="5" name="Segno di sott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0475" cy="45720"/>
                        </a:xfrm>
                        <a:prstGeom prst="mathMinus">
                          <a:avLst/>
                        </a:prstGeom>
                        <a:solidFill>
                          <a:srgbClr val="205394"/>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E9DD5" id="Segno di sottrazione 5" o:spid="_x0000_s1026" style="position:absolute;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" path="m1008768,17483r5592939,l6601707,28237r-5592939,l1008768,17483xe" fillcolor="#205394" strokecolor="#385d8a" strokeweight="1pt">
                <v:path arrowok="t" o:connecttype="custom" o:connectlocs="1008768,17483;6601707,17483;6601707,28237;1008768,28237;1008768,17483" o:connectangles="0,0,0,0,0"/>
              </v:shape>
            </w:pict>
          </mc:Fallback>
        </mc:AlternateContent>
      </w:r>
      <w:r w:rsidR="00C5371C" w:rsidRPr="00C5371C">
        <w:rPr>
          <w:rFonts w:asciiTheme="minorHAnsi" w:hAnsiTheme="minorHAnsi" w:cstheme="minorHAnsi"/>
          <w:b/>
          <w:bCs/>
          <w:color w:val="000000"/>
          <w:sz w:val="22"/>
          <w:szCs w:val="22"/>
        </w:rPr>
        <w:t>Superbonus 110%: approvate le specifiche tecniche per l’invio della comunicazione all’Agenzia Entrate</w:t>
      </w:r>
    </w:p>
    <w:p w14:paraId="71E8D217" w14:textId="1000EEAB" w:rsidR="00FC7629" w:rsidRDefault="00C17932" w:rsidP="00C3700B">
      <w:pPr>
        <w:rPr>
          <w:rFonts w:ascii="Calibri" w:hAnsi="Calibri" w:cs="Calibri Light"/>
          <w:b/>
          <w:bCs/>
          <w:sz w:val="22"/>
          <w:szCs w:val="22"/>
        </w:rPr>
      </w:pPr>
      <w:r w:rsidRPr="00E44565">
        <w:rPr>
          <w:rFonts w:ascii="Calibri" w:hAnsi="Calibri" w:cs="Calibri Light"/>
          <w:b/>
          <w:bCs/>
          <w:sz w:val="22"/>
          <w:szCs w:val="22"/>
        </w:rPr>
        <w:t xml:space="preserve"> </w:t>
      </w:r>
    </w:p>
    <w:p w14:paraId="5431D34D" w14:textId="7AE0E8C3" w:rsidR="00C5371C" w:rsidRPr="00C5371C" w:rsidRDefault="00C5371C" w:rsidP="00C3700B">
      <w:pPr>
        <w:rPr>
          <w:rFonts w:ascii="Calibri" w:hAnsi="Calibri" w:cs="Calibri Light"/>
          <w:sz w:val="22"/>
          <w:szCs w:val="22"/>
        </w:rPr>
      </w:pPr>
      <w:r w:rsidRPr="00C5371C">
        <w:rPr>
          <w:rFonts w:ascii="Calibri" w:hAnsi="Calibri" w:cs="Calibri Light"/>
          <w:sz w:val="22"/>
          <w:szCs w:val="22"/>
        </w:rPr>
        <w:t>Modificato</w:t>
      </w:r>
      <w:r>
        <w:rPr>
          <w:rFonts w:ascii="Calibri" w:hAnsi="Calibri" w:cs="Calibri Light"/>
          <w:sz w:val="22"/>
          <w:szCs w:val="22"/>
        </w:rPr>
        <w:t xml:space="preserve"> il modello e le relative istruzioni</w:t>
      </w:r>
    </w:p>
    <w:p w14:paraId="7586C8CF" w14:textId="77777777" w:rsidR="00C5371C" w:rsidRDefault="00C5371C" w:rsidP="00C3700B">
      <w:pPr>
        <w:rPr>
          <w:rFonts w:ascii="Calibri" w:hAnsi="Calibri" w:cs="Calibri Light"/>
          <w:b/>
          <w:bCs/>
          <w:sz w:val="22"/>
          <w:szCs w:val="22"/>
        </w:rPr>
      </w:pPr>
    </w:p>
    <w:p w14:paraId="2C3F78A2"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r w:rsidRPr="00C5371C">
        <w:rPr>
          <w:rFonts w:asciiTheme="minorHAnsi" w:hAnsiTheme="minorHAnsi" w:cstheme="minorHAnsi"/>
          <w:color w:val="000000"/>
          <w:sz w:val="22"/>
          <w:szCs w:val="22"/>
        </w:rPr>
        <w:t xml:space="preserve">Sono state approvate le specifiche tecniche per la predisposizione e trasmissione telematica all’Agenzia delle Entrate, del modello per la </w:t>
      </w:r>
      <w:r w:rsidRPr="00C5371C">
        <w:rPr>
          <w:rFonts w:asciiTheme="minorHAnsi" w:hAnsiTheme="minorHAnsi" w:cstheme="minorHAnsi"/>
          <w:b/>
          <w:bCs/>
          <w:color w:val="000000"/>
          <w:sz w:val="22"/>
          <w:szCs w:val="22"/>
        </w:rPr>
        <w:t>comunicazione dell’opzione</w:t>
      </w:r>
      <w:r w:rsidRPr="00C5371C">
        <w:rPr>
          <w:rFonts w:asciiTheme="minorHAnsi" w:hAnsiTheme="minorHAnsi" w:cstheme="minorHAnsi"/>
          <w:color w:val="000000"/>
          <w:sz w:val="22"/>
          <w:szCs w:val="22"/>
        </w:rPr>
        <w:t xml:space="preserve"> per la cessione del credito o lo sconto in fattura, relativa agli interventi di recupero del patrimonio edilizio, efficienza energetica, rischio sismico, impianti fotovoltaici e colonnine di ricarica.</w:t>
      </w:r>
    </w:p>
    <w:p w14:paraId="1A03AF2D"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p>
    <w:p w14:paraId="1A642066"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r w:rsidRPr="00C5371C">
        <w:rPr>
          <w:rFonts w:asciiTheme="minorHAnsi" w:hAnsiTheme="minorHAnsi" w:cstheme="minorHAnsi"/>
          <w:color w:val="000000"/>
          <w:sz w:val="22"/>
          <w:szCs w:val="22"/>
        </w:rPr>
        <w:t xml:space="preserve">Con il </w:t>
      </w:r>
      <w:hyperlink r:id="rId7" w:history="1">
        <w:r w:rsidRPr="00C5371C">
          <w:rPr>
            <w:rStyle w:val="Collegamentoipertestuale"/>
            <w:rFonts w:asciiTheme="minorHAnsi" w:hAnsiTheme="minorHAnsi" w:cstheme="minorHAnsi"/>
            <w:sz w:val="22"/>
            <w:szCs w:val="22"/>
          </w:rPr>
          <w:t>Provvedimento n. 326047 del 12 ottobre 2020</w:t>
        </w:r>
      </w:hyperlink>
      <w:r w:rsidRPr="00C5371C">
        <w:rPr>
          <w:rFonts w:asciiTheme="minorHAnsi" w:hAnsiTheme="minorHAnsi" w:cstheme="minorHAnsi"/>
          <w:color w:val="000000"/>
          <w:sz w:val="22"/>
          <w:szCs w:val="22"/>
        </w:rPr>
        <w:t>,</w:t>
      </w:r>
      <w:r w:rsidRPr="00C5371C">
        <w:rPr>
          <w:rFonts w:asciiTheme="minorHAnsi" w:hAnsiTheme="minorHAnsi" w:cstheme="minorHAnsi"/>
          <w:b/>
          <w:bCs/>
          <w:color w:val="000000"/>
          <w:sz w:val="22"/>
          <w:szCs w:val="22"/>
        </w:rPr>
        <w:t xml:space="preserve"> </w:t>
      </w:r>
      <w:r w:rsidRPr="00C5371C">
        <w:rPr>
          <w:rFonts w:asciiTheme="minorHAnsi" w:hAnsiTheme="minorHAnsi" w:cstheme="minorHAnsi"/>
          <w:color w:val="000000"/>
          <w:sz w:val="22"/>
          <w:szCs w:val="22"/>
        </w:rPr>
        <w:t>l’Agenzia ha quindi:</w:t>
      </w:r>
    </w:p>
    <w:p w14:paraId="0E3BB4BC" w14:textId="77777777" w:rsidR="00C5371C" w:rsidRPr="00C5371C" w:rsidRDefault="00C5371C" w:rsidP="00C5371C">
      <w:pPr>
        <w:pStyle w:val="Paragrafoelenco"/>
        <w:numPr>
          <w:ilvl w:val="0"/>
          <w:numId w:val="32"/>
        </w:numPr>
        <w:autoSpaceDE w:val="0"/>
        <w:autoSpaceDN w:val="0"/>
        <w:adjustRightInd w:val="0"/>
        <w:spacing w:after="0" w:line="240" w:lineRule="auto"/>
        <w:rPr>
          <w:rFonts w:asciiTheme="minorHAnsi" w:hAnsiTheme="minorHAnsi" w:cstheme="minorHAnsi"/>
          <w:color w:val="000000"/>
        </w:rPr>
      </w:pPr>
      <w:r w:rsidRPr="00C5371C">
        <w:rPr>
          <w:rFonts w:asciiTheme="minorHAnsi" w:hAnsiTheme="minorHAnsi" w:cstheme="minorHAnsi"/>
          <w:color w:val="000000"/>
        </w:rPr>
        <w:t xml:space="preserve">approvato </w:t>
      </w:r>
      <w:r w:rsidRPr="00C5371C">
        <w:rPr>
          <w:rFonts w:asciiTheme="minorHAnsi" w:hAnsiTheme="minorHAnsi" w:cstheme="minorHAnsi"/>
          <w:b/>
          <w:bCs/>
          <w:color w:val="000000"/>
        </w:rPr>
        <w:t xml:space="preserve">le specifiche tecniche per la trasmissione della comunicazione </w:t>
      </w:r>
      <w:r w:rsidRPr="00C5371C">
        <w:rPr>
          <w:rFonts w:asciiTheme="minorHAnsi" w:hAnsiTheme="minorHAnsi" w:cstheme="minorHAnsi"/>
          <w:color w:val="000000"/>
        </w:rPr>
        <w:t xml:space="preserve">che va inviata all’amministrazione finanziaria in caso di opzione per la cessione del credito e per lo sconto sul corrispettivo; </w:t>
      </w:r>
    </w:p>
    <w:p w14:paraId="2391554F" w14:textId="77777777" w:rsidR="00C5371C" w:rsidRPr="00C5371C" w:rsidRDefault="00C5371C" w:rsidP="00C5371C">
      <w:pPr>
        <w:pStyle w:val="Paragrafoelenco"/>
        <w:numPr>
          <w:ilvl w:val="0"/>
          <w:numId w:val="32"/>
        </w:numPr>
        <w:autoSpaceDE w:val="0"/>
        <w:autoSpaceDN w:val="0"/>
        <w:adjustRightInd w:val="0"/>
        <w:spacing w:after="0" w:line="240" w:lineRule="auto"/>
        <w:rPr>
          <w:rFonts w:asciiTheme="minorHAnsi" w:hAnsiTheme="minorHAnsi" w:cstheme="minorHAnsi"/>
          <w:color w:val="000000"/>
        </w:rPr>
      </w:pPr>
      <w:r w:rsidRPr="00C5371C">
        <w:rPr>
          <w:rFonts w:asciiTheme="minorHAnsi" w:hAnsiTheme="minorHAnsi" w:cstheme="minorHAnsi"/>
          <w:color w:val="000000"/>
        </w:rPr>
        <w:t xml:space="preserve">effettuato delle </w:t>
      </w:r>
      <w:r w:rsidRPr="00C5371C">
        <w:rPr>
          <w:rFonts w:asciiTheme="minorHAnsi" w:hAnsiTheme="minorHAnsi" w:cstheme="minorHAnsi"/>
          <w:b/>
          <w:bCs/>
          <w:color w:val="000000"/>
        </w:rPr>
        <w:t xml:space="preserve">piccole modifiche </w:t>
      </w:r>
      <w:r w:rsidRPr="00C5371C">
        <w:rPr>
          <w:rFonts w:asciiTheme="minorHAnsi" w:hAnsiTheme="minorHAnsi" w:cstheme="minorHAnsi"/>
          <w:color w:val="000000"/>
        </w:rPr>
        <w:t xml:space="preserve">al </w:t>
      </w:r>
      <w:r w:rsidRPr="00C5371C">
        <w:rPr>
          <w:rFonts w:asciiTheme="minorHAnsi" w:hAnsiTheme="minorHAnsi" w:cstheme="minorHAnsi"/>
          <w:b/>
          <w:bCs/>
          <w:i/>
          <w:iCs/>
          <w:color w:val="000000"/>
        </w:rPr>
        <w:t xml:space="preserve">modello di comunicazione </w:t>
      </w:r>
      <w:r w:rsidRPr="00C5371C">
        <w:rPr>
          <w:rFonts w:asciiTheme="minorHAnsi" w:hAnsiTheme="minorHAnsi" w:cstheme="minorHAnsi"/>
          <w:color w:val="000000"/>
        </w:rPr>
        <w:t xml:space="preserve">e </w:t>
      </w:r>
      <w:r w:rsidRPr="00C5371C">
        <w:rPr>
          <w:rFonts w:asciiTheme="minorHAnsi" w:hAnsiTheme="minorHAnsi" w:cstheme="minorHAnsi"/>
          <w:b/>
          <w:bCs/>
          <w:color w:val="000000"/>
        </w:rPr>
        <w:t xml:space="preserve">alle relative istruzioni </w:t>
      </w:r>
      <w:r w:rsidRPr="00C5371C">
        <w:rPr>
          <w:rFonts w:asciiTheme="minorHAnsi" w:hAnsiTheme="minorHAnsi" w:cstheme="minorHAnsi"/>
          <w:color w:val="000000"/>
        </w:rPr>
        <w:t>approvate lo scorso agosto. Queste integrazioni sono state effettuate per gestire al meglio le opzioni relative a tutte le tipologie di interventi per i quali è ammessa l’opzione per la cessione del credito e lo sconto sul corrispettivo, indicati all’art.121 del DL 34/2020 (DL “Rilancio”).</w:t>
      </w:r>
    </w:p>
    <w:p w14:paraId="19827658"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p>
    <w:p w14:paraId="3D02BBC0"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r w:rsidRPr="00C5371C">
        <w:rPr>
          <w:rFonts w:asciiTheme="minorHAnsi" w:hAnsiTheme="minorHAnsi" w:cstheme="minorHAnsi"/>
          <w:color w:val="000000"/>
          <w:sz w:val="22"/>
          <w:szCs w:val="22"/>
        </w:rPr>
        <w:t>Si ricorda che l’invio della comunicazione all’Agenzia delle Entrate deve avvenire a partire dal 15 ottobre 2020 e comunque entro il 16 marzo dell’anno successivo a quello di sostenimento delle spese, oppure entro il 16 marzo dell’anno di scadenza del termine per presentare la dichiarazione dei redditi, in caso di esercizio dell’opzione per le rate residue non fruite.</w:t>
      </w:r>
    </w:p>
    <w:p w14:paraId="2CE98DEB"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p>
    <w:p w14:paraId="16F629B2"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r w:rsidRPr="00C5371C">
        <w:rPr>
          <w:rFonts w:asciiTheme="minorHAnsi" w:hAnsiTheme="minorHAnsi" w:cstheme="minorHAnsi"/>
          <w:color w:val="000000"/>
          <w:sz w:val="22"/>
          <w:szCs w:val="22"/>
        </w:rPr>
        <w:t xml:space="preserve">Va poi precisato che per gli interventi da Ecobonus al 110%, la comunicazione va inviata all’Agenzia dopo il 5° giorno successivo al rilascio, da parte dell’ENEA, della ricevuta di avvenuta trasmissione dell’asseverazione. A sua volta l’Agenzia, entro 5 giorni, rilascia una ricevuta che ne attesta la presa in carico o lo scarto, con l’indicazione delle motivazioni. </w:t>
      </w:r>
    </w:p>
    <w:p w14:paraId="7CAA436A"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r w:rsidRPr="00C5371C">
        <w:rPr>
          <w:rFonts w:asciiTheme="minorHAnsi" w:hAnsiTheme="minorHAnsi" w:cstheme="minorHAnsi"/>
          <w:color w:val="000000"/>
          <w:sz w:val="22"/>
          <w:szCs w:val="22"/>
        </w:rPr>
        <w:t>La ricevuta viene messa a disposizione del soggetto che l’ha trasmessa, nell’area riservata del sito internet dell’Agenzia delle Entrate.</w:t>
      </w:r>
    </w:p>
    <w:p w14:paraId="2AE92ABA"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p>
    <w:p w14:paraId="4E18E6BB" w14:textId="77777777" w:rsidR="00C5371C" w:rsidRPr="00C5371C" w:rsidRDefault="00C5371C" w:rsidP="00C5371C">
      <w:pPr>
        <w:autoSpaceDE w:val="0"/>
        <w:autoSpaceDN w:val="0"/>
        <w:adjustRightInd w:val="0"/>
        <w:rPr>
          <w:rFonts w:asciiTheme="minorHAnsi" w:hAnsiTheme="minorHAnsi" w:cstheme="minorHAnsi"/>
          <w:color w:val="000000"/>
          <w:sz w:val="22"/>
          <w:szCs w:val="22"/>
        </w:rPr>
      </w:pPr>
      <w:r w:rsidRPr="00C5371C">
        <w:rPr>
          <w:rFonts w:asciiTheme="minorHAnsi" w:hAnsiTheme="minorHAnsi" w:cstheme="minorHAnsi"/>
          <w:color w:val="000000"/>
          <w:sz w:val="22"/>
          <w:szCs w:val="22"/>
        </w:rPr>
        <w:t>Come specificato nelle avvertenze generali, prima di procedere alla trasmissione del file contenente la comunicazione per l’opzione, il soggetto che effettua la trasmissione telematica è tenuto a utilizzare il software distribuito dall’Agenzia delle Entrate che provvede a sottoporre i dati della comunicazione al controllo di correttezza formale e a generare il file controllato da inviare telematicamente all’Agenzia.</w:t>
      </w:r>
    </w:p>
    <w:p w14:paraId="2C586083" w14:textId="77777777" w:rsidR="00C5371C" w:rsidRPr="00CF4047" w:rsidRDefault="00C5371C" w:rsidP="00C5371C">
      <w:pPr>
        <w:autoSpaceDE w:val="0"/>
        <w:autoSpaceDN w:val="0"/>
        <w:adjustRightInd w:val="0"/>
        <w:rPr>
          <w:rFonts w:asciiTheme="majorHAnsi" w:hAnsiTheme="majorHAnsi" w:cstheme="majorHAnsi"/>
          <w:color w:val="000000"/>
        </w:rPr>
      </w:pPr>
    </w:p>
    <w:p w14:paraId="52702568" w14:textId="77777777" w:rsidR="00E44565" w:rsidRPr="00451E21" w:rsidRDefault="00E44565" w:rsidP="00C3700B">
      <w:pPr>
        <w:rPr>
          <w:rFonts w:asciiTheme="minorHAnsi" w:hAnsiTheme="minorHAnsi" w:cstheme="minorHAnsi"/>
          <w:b/>
          <w:bCs/>
          <w:sz w:val="22"/>
          <w:szCs w:val="22"/>
        </w:rPr>
      </w:pPr>
    </w:p>
    <w:p w14:paraId="29236C75" w14:textId="77777777" w:rsidR="00C17932" w:rsidRDefault="00C17932" w:rsidP="008009D5">
      <w:pPr>
        <w:tabs>
          <w:tab w:val="left" w:pos="720"/>
          <w:tab w:val="left" w:pos="900"/>
          <w:tab w:val="left" w:pos="1260"/>
          <w:tab w:val="left" w:pos="5580"/>
          <w:tab w:val="left" w:pos="6120"/>
        </w:tabs>
        <w:ind w:right="-2"/>
        <w:rPr>
          <w:rFonts w:ascii="Calibri" w:hAnsi="Calibri" w:cs="Calibri"/>
          <w:color w:val="1C2024"/>
          <w:sz w:val="22"/>
          <w:szCs w:val="22"/>
        </w:rPr>
      </w:pPr>
    </w:p>
    <w:p w14:paraId="7C7AA374" w14:textId="3EC510D4"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8"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C5371C"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C5371C">
        <w:rPr>
          <w:rFonts w:ascii="Calibri" w:hAnsi="Calibri" w:cs="Calibri"/>
          <w:sz w:val="22"/>
          <w:szCs w:val="22"/>
        </w:rPr>
        <w:t xml:space="preserve">Email: </w:t>
      </w:r>
      <w:hyperlink r:id="rId9" w:history="1">
        <w:r w:rsidRPr="00C5371C">
          <w:rPr>
            <w:rFonts w:ascii="Calibri" w:hAnsi="Calibri" w:cs="Calibri"/>
            <w:color w:val="0000FF"/>
            <w:sz w:val="22"/>
            <w:szCs w:val="22"/>
            <w:u w:val="single"/>
          </w:rPr>
          <w:t>vignaroli@confindustria.umbria.it</w:t>
        </w:r>
      </w:hyperlink>
      <w:r w:rsidRPr="00C5371C">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lastRenderedPageBreak/>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10"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06D80CC3"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C5371C">
        <w:rPr>
          <w:rFonts w:ascii="Calibri" w:hAnsi="Calibri" w:cs="Calibri"/>
          <w:sz w:val="22"/>
          <w:szCs w:val="22"/>
        </w:rPr>
        <w:t>14</w:t>
      </w:r>
      <w:r w:rsidR="00A66B46" w:rsidRPr="00A00EBE">
        <w:rPr>
          <w:rFonts w:ascii="Calibri" w:hAnsi="Calibri" w:cs="Calibri"/>
          <w:sz w:val="22"/>
          <w:szCs w:val="22"/>
        </w:rPr>
        <w:t>/</w:t>
      </w:r>
      <w:r w:rsidR="003E052B">
        <w:rPr>
          <w:rFonts w:ascii="Calibri" w:hAnsi="Calibri" w:cs="Calibri"/>
          <w:sz w:val="22"/>
          <w:szCs w:val="22"/>
        </w:rPr>
        <w:t>10</w:t>
      </w:r>
      <w:r w:rsidR="00A66B46" w:rsidRPr="00A00EBE">
        <w:rPr>
          <w:rFonts w:ascii="Calibri" w:hAnsi="Calibri" w:cs="Calibri"/>
          <w:sz w:val="22"/>
          <w:szCs w:val="22"/>
        </w:rPr>
        <w:t>/2020</w:t>
      </w:r>
    </w:p>
    <w:sectPr w:rsidR="00783E6E" w:rsidRPr="00777439" w:rsidSect="004E62C8">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0A754" w14:textId="77777777" w:rsidR="00211F4F" w:rsidRDefault="00211F4F">
      <w:r>
        <w:separator/>
      </w:r>
    </w:p>
  </w:endnote>
  <w:endnote w:type="continuationSeparator" w:id="0">
    <w:p w14:paraId="39AD0CC9" w14:textId="77777777" w:rsidR="00211F4F" w:rsidRDefault="0021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5268D" w14:textId="77777777" w:rsidR="00211F4F" w:rsidRDefault="00211F4F">
      <w:r>
        <w:separator/>
      </w:r>
    </w:p>
  </w:footnote>
  <w:footnote w:type="continuationSeparator" w:id="0">
    <w:p w14:paraId="58C16916" w14:textId="77777777" w:rsidR="00211F4F" w:rsidRDefault="0021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00592B2B" w:rsidR="001867E9" w:rsidRDefault="00217122">
          <w:pPr>
            <w:tabs>
              <w:tab w:val="left" w:pos="720"/>
              <w:tab w:val="left" w:pos="900"/>
              <w:tab w:val="left" w:pos="1260"/>
              <w:tab w:val="left" w:pos="1980"/>
            </w:tabs>
          </w:pPr>
          <w:r>
            <w:rPr>
              <w:noProof/>
              <w:color w:val="205394"/>
            </w:rPr>
            <w:drawing>
              <wp:inline distT="0" distB="0" distL="0" distR="0" wp14:anchorId="6656F282" wp14:editId="5D577CBC">
                <wp:extent cx="523875" cy="49530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1A492D"/>
    <w:multiLevelType w:val="hybridMultilevel"/>
    <w:tmpl w:val="14EAA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9"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06CEA"/>
    <w:multiLevelType w:val="hybridMultilevel"/>
    <w:tmpl w:val="181C3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20"/>
  </w:num>
  <w:num w:numId="2">
    <w:abstractNumId w:val="17"/>
  </w:num>
  <w:num w:numId="3">
    <w:abstractNumId w:val="21"/>
  </w:num>
  <w:num w:numId="4">
    <w:abstractNumId w:val="12"/>
  </w:num>
  <w:num w:numId="5">
    <w:abstractNumId w:val="2"/>
  </w:num>
  <w:num w:numId="6">
    <w:abstractNumId w:val="13"/>
  </w:num>
  <w:num w:numId="7">
    <w:abstractNumId w:val="16"/>
  </w:num>
  <w:num w:numId="8">
    <w:abstractNumId w:val="26"/>
  </w:num>
  <w:num w:numId="9">
    <w:abstractNumId w:val="30"/>
  </w:num>
  <w:num w:numId="10">
    <w:abstractNumId w:val="25"/>
  </w:num>
  <w:num w:numId="11">
    <w:abstractNumId w:val="14"/>
  </w:num>
  <w:num w:numId="12">
    <w:abstractNumId w:val="22"/>
  </w:num>
  <w:num w:numId="13">
    <w:abstractNumId w:val="6"/>
  </w:num>
  <w:num w:numId="14">
    <w:abstractNumId w:val="11"/>
  </w:num>
  <w:num w:numId="15">
    <w:abstractNumId w:val="0"/>
  </w:num>
  <w:num w:numId="16">
    <w:abstractNumId w:val="3"/>
  </w:num>
  <w:num w:numId="17">
    <w:abstractNumId w:val="18"/>
  </w:num>
  <w:num w:numId="18">
    <w:abstractNumId w:val="1"/>
  </w:num>
  <w:num w:numId="19">
    <w:abstractNumId w:val="27"/>
  </w:num>
  <w:num w:numId="20">
    <w:abstractNumId w:val="19"/>
  </w:num>
  <w:num w:numId="21">
    <w:abstractNumId w:val="8"/>
  </w:num>
  <w:num w:numId="22">
    <w:abstractNumId w:val="29"/>
  </w:num>
  <w:num w:numId="23">
    <w:abstractNumId w:val="15"/>
  </w:num>
  <w:num w:numId="24">
    <w:abstractNumId w:val="9"/>
  </w:num>
  <w:num w:numId="25">
    <w:abstractNumId w:val="5"/>
  </w:num>
  <w:num w:numId="26">
    <w:abstractNumId w:val="7"/>
  </w:num>
  <w:num w:numId="27">
    <w:abstractNumId w:val="28"/>
  </w:num>
  <w:num w:numId="28">
    <w:abstractNumId w:val="24"/>
  </w:num>
  <w:num w:numId="29">
    <w:abstractNumId w:val="10"/>
  </w:num>
  <w:num w:numId="30">
    <w:abstractNumId w:val="31"/>
  </w:num>
  <w:num w:numId="31">
    <w:abstractNumId w:val="4"/>
  </w:num>
  <w:num w:numId="32">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452"/>
    <w:rsid w:val="0009085F"/>
    <w:rsid w:val="00091677"/>
    <w:rsid w:val="00094BA5"/>
    <w:rsid w:val="000A323E"/>
    <w:rsid w:val="000A39AE"/>
    <w:rsid w:val="000B06C6"/>
    <w:rsid w:val="000B2103"/>
    <w:rsid w:val="000B520B"/>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1F4F"/>
    <w:rsid w:val="002166C4"/>
    <w:rsid w:val="00216BD5"/>
    <w:rsid w:val="00217122"/>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2E6758"/>
    <w:rsid w:val="00300CDB"/>
    <w:rsid w:val="00306EA7"/>
    <w:rsid w:val="003114C4"/>
    <w:rsid w:val="00322729"/>
    <w:rsid w:val="00322EE8"/>
    <w:rsid w:val="00326815"/>
    <w:rsid w:val="003347DC"/>
    <w:rsid w:val="003360E9"/>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052B"/>
    <w:rsid w:val="003E5874"/>
    <w:rsid w:val="0041047E"/>
    <w:rsid w:val="0041177C"/>
    <w:rsid w:val="0042052A"/>
    <w:rsid w:val="0042117E"/>
    <w:rsid w:val="004353E3"/>
    <w:rsid w:val="004414A4"/>
    <w:rsid w:val="00442812"/>
    <w:rsid w:val="004435C3"/>
    <w:rsid w:val="00445DF1"/>
    <w:rsid w:val="00451E2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D5498"/>
    <w:rsid w:val="004E0C94"/>
    <w:rsid w:val="004E62C8"/>
    <w:rsid w:val="004F2D22"/>
    <w:rsid w:val="00517FCD"/>
    <w:rsid w:val="00520F32"/>
    <w:rsid w:val="0053112D"/>
    <w:rsid w:val="00531CA4"/>
    <w:rsid w:val="00532215"/>
    <w:rsid w:val="00532542"/>
    <w:rsid w:val="00534BD4"/>
    <w:rsid w:val="00546306"/>
    <w:rsid w:val="00552D0E"/>
    <w:rsid w:val="0055654F"/>
    <w:rsid w:val="005615FE"/>
    <w:rsid w:val="00565BA4"/>
    <w:rsid w:val="00570DF9"/>
    <w:rsid w:val="00571AA5"/>
    <w:rsid w:val="00580D22"/>
    <w:rsid w:val="005952A0"/>
    <w:rsid w:val="005A2FBD"/>
    <w:rsid w:val="005A6420"/>
    <w:rsid w:val="005A68AC"/>
    <w:rsid w:val="005B68CD"/>
    <w:rsid w:val="005B7323"/>
    <w:rsid w:val="005C488C"/>
    <w:rsid w:val="005D2783"/>
    <w:rsid w:val="005D3F4A"/>
    <w:rsid w:val="005D58C7"/>
    <w:rsid w:val="005E05F4"/>
    <w:rsid w:val="005E29D1"/>
    <w:rsid w:val="005E2A6A"/>
    <w:rsid w:val="005E5E6F"/>
    <w:rsid w:val="005E694F"/>
    <w:rsid w:val="005E7FCE"/>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22B7"/>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27BC"/>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316C"/>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1B00"/>
    <w:rsid w:val="009A3F24"/>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93510"/>
    <w:rsid w:val="00AA3206"/>
    <w:rsid w:val="00AA755B"/>
    <w:rsid w:val="00AA7A03"/>
    <w:rsid w:val="00AB5961"/>
    <w:rsid w:val="00AB71C8"/>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C10A7A"/>
    <w:rsid w:val="00C13B4C"/>
    <w:rsid w:val="00C17932"/>
    <w:rsid w:val="00C24A9A"/>
    <w:rsid w:val="00C27714"/>
    <w:rsid w:val="00C3700B"/>
    <w:rsid w:val="00C433AC"/>
    <w:rsid w:val="00C46AA6"/>
    <w:rsid w:val="00C5003A"/>
    <w:rsid w:val="00C5371C"/>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4D11"/>
    <w:rsid w:val="00D46820"/>
    <w:rsid w:val="00D46D8F"/>
    <w:rsid w:val="00D50F2A"/>
    <w:rsid w:val="00D54D0D"/>
    <w:rsid w:val="00D551CF"/>
    <w:rsid w:val="00D66BBB"/>
    <w:rsid w:val="00D70745"/>
    <w:rsid w:val="00D71FF5"/>
    <w:rsid w:val="00D74092"/>
    <w:rsid w:val="00D74880"/>
    <w:rsid w:val="00D77E54"/>
    <w:rsid w:val="00DA26BC"/>
    <w:rsid w:val="00DA4273"/>
    <w:rsid w:val="00DA5995"/>
    <w:rsid w:val="00DB3985"/>
    <w:rsid w:val="00DB4953"/>
    <w:rsid w:val="00DC0ED4"/>
    <w:rsid w:val="00DC7F97"/>
    <w:rsid w:val="00DD019F"/>
    <w:rsid w:val="00DE3413"/>
    <w:rsid w:val="00DE72E8"/>
    <w:rsid w:val="00DF5163"/>
    <w:rsid w:val="00DF7579"/>
    <w:rsid w:val="00E00F2C"/>
    <w:rsid w:val="00E07BDC"/>
    <w:rsid w:val="00E15415"/>
    <w:rsid w:val="00E20570"/>
    <w:rsid w:val="00E209CB"/>
    <w:rsid w:val="00E25D34"/>
    <w:rsid w:val="00E273B4"/>
    <w:rsid w:val="00E31E8B"/>
    <w:rsid w:val="00E36D39"/>
    <w:rsid w:val="00E44565"/>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C7629"/>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78856004">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855262631">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agnino@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enziaentrate.gov.it/portale/web/guest/-/provvedimento-del-12-ottobre-20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scini@confindustria.umbria.it" TargetMode="External"/><Relationship Id="rId4" Type="http://schemas.openxmlformats.org/officeDocument/2006/relationships/webSettings" Target="webSettings.xml"/><Relationship Id="rId9" Type="http://schemas.openxmlformats.org/officeDocument/2006/relationships/hyperlink" Target="mailto:vignarol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332</TotalTime>
  <Pages>2</Pages>
  <Words>465</Words>
  <Characters>2654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3113</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15</cp:revision>
  <cp:lastPrinted>2019-02-27T17:41:00Z</cp:lastPrinted>
  <dcterms:created xsi:type="dcterms:W3CDTF">2020-09-15T10:19:00Z</dcterms:created>
  <dcterms:modified xsi:type="dcterms:W3CDTF">2020-10-14T13:46:00Z</dcterms:modified>
</cp:coreProperties>
</file>