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1E768" w14:textId="65B7862E" w:rsidR="00D21307" w:rsidRPr="00284A92" w:rsidRDefault="00114E20" w:rsidP="00D21307">
      <w:pPr>
        <w:autoSpaceDE w:val="0"/>
        <w:autoSpaceDN w:val="0"/>
        <w:adjustRightInd w:val="0"/>
        <w:rPr>
          <w:rFonts w:ascii="Calibri" w:hAnsi="Calibri" w:cs="Calibri"/>
          <w:b/>
          <w:bCs/>
          <w:color w:val="000000"/>
          <w:sz w:val="22"/>
          <w:szCs w:val="22"/>
        </w:rPr>
      </w:pPr>
      <w:r>
        <w:rPr>
          <w:rFonts w:ascii="Calibri" w:hAnsi="Calibri" w:cs="Calibri"/>
          <w:b/>
          <w:bCs/>
          <w:noProof/>
          <w:sz w:val="22"/>
          <w:szCs w:val="22"/>
        </w:rPr>
        <mc:AlternateContent>
          <mc:Choice Requires="wps">
            <w:drawing>
              <wp:anchor distT="0" distB="0" distL="114300" distR="114300" simplePos="0" relativeHeight="251657728" behindDoc="0" locked="0" layoutInCell="1" allowOverlap="1" wp14:anchorId="036903AB" wp14:editId="3573DDA0">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32AA"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760EE7" w:rsidRPr="00760EE7">
        <w:rPr>
          <w:rFonts w:ascii="Calibri" w:hAnsi="Calibri" w:cs="Calibri"/>
          <w:b/>
          <w:bCs/>
          <w:color w:val="000000"/>
          <w:sz w:val="22"/>
          <w:szCs w:val="22"/>
        </w:rPr>
        <w:t>Bonus facciate</w:t>
      </w:r>
      <w:r w:rsidR="00760EE7">
        <w:rPr>
          <w:rFonts w:ascii="Calibri" w:hAnsi="Calibri" w:cs="Calibri"/>
          <w:b/>
          <w:bCs/>
          <w:color w:val="000000"/>
          <w:sz w:val="22"/>
          <w:szCs w:val="22"/>
        </w:rPr>
        <w:t xml:space="preserve">: </w:t>
      </w:r>
      <w:r w:rsidR="00760EE7" w:rsidRPr="00760EE7">
        <w:rPr>
          <w:rFonts w:ascii="Calibri" w:hAnsi="Calibri" w:cs="Calibri"/>
          <w:b/>
          <w:bCs/>
          <w:color w:val="000000"/>
          <w:sz w:val="22"/>
          <w:szCs w:val="22"/>
        </w:rPr>
        <w:t xml:space="preserve">immobili </w:t>
      </w:r>
      <w:r w:rsidR="00276AE1">
        <w:rPr>
          <w:rFonts w:ascii="Calibri" w:hAnsi="Calibri" w:cs="Calibri"/>
          <w:b/>
          <w:bCs/>
          <w:color w:val="000000"/>
          <w:sz w:val="22"/>
          <w:szCs w:val="22"/>
        </w:rPr>
        <w:t>“</w:t>
      </w:r>
      <w:r w:rsidR="00760EE7" w:rsidRPr="00760EE7">
        <w:rPr>
          <w:rFonts w:ascii="Calibri" w:hAnsi="Calibri" w:cs="Calibri"/>
          <w:b/>
          <w:bCs/>
          <w:color w:val="000000"/>
          <w:sz w:val="22"/>
          <w:szCs w:val="22"/>
        </w:rPr>
        <w:t>patrimonio” delle imprese</w:t>
      </w:r>
    </w:p>
    <w:p w14:paraId="60E58995" w14:textId="77777777" w:rsidR="00B57D0A" w:rsidRDefault="00B57D0A" w:rsidP="00B57D0A">
      <w:pPr>
        <w:rPr>
          <w:rFonts w:ascii="Calibri" w:hAnsi="Calibri" w:cs="Calibri"/>
          <w:b/>
          <w:bCs/>
          <w:color w:val="000000"/>
          <w:sz w:val="22"/>
          <w:szCs w:val="22"/>
        </w:rPr>
      </w:pPr>
    </w:p>
    <w:p w14:paraId="110AF6FD" w14:textId="3867E247" w:rsidR="00276AE1" w:rsidRPr="00276AE1" w:rsidRDefault="00276AE1" w:rsidP="00760EE7">
      <w:pPr>
        <w:rPr>
          <w:rFonts w:asciiTheme="minorHAnsi" w:hAnsiTheme="minorHAnsi" w:cstheme="minorHAnsi"/>
          <w:sz w:val="22"/>
          <w:szCs w:val="22"/>
        </w:rPr>
      </w:pPr>
      <w:r w:rsidRPr="00276AE1">
        <w:rPr>
          <w:rFonts w:ascii="Calibri" w:hAnsi="Calibri" w:cs="Calibri"/>
          <w:color w:val="000000"/>
          <w:sz w:val="22"/>
          <w:szCs w:val="22"/>
        </w:rPr>
        <w:t>C</w:t>
      </w:r>
      <w:r w:rsidRPr="00276AE1">
        <w:rPr>
          <w:rFonts w:ascii="Calibri" w:hAnsi="Calibri" w:cs="Calibri"/>
          <w:color w:val="000000"/>
          <w:sz w:val="22"/>
          <w:szCs w:val="22"/>
        </w:rPr>
        <w:t>hiarimenti dell’Agenzia Entrate</w:t>
      </w:r>
      <w:r w:rsidRPr="00276AE1">
        <w:rPr>
          <w:rFonts w:asciiTheme="minorHAnsi" w:hAnsiTheme="minorHAnsi" w:cstheme="minorHAnsi"/>
          <w:sz w:val="22"/>
          <w:szCs w:val="22"/>
        </w:rPr>
        <w:t xml:space="preserve"> </w:t>
      </w:r>
    </w:p>
    <w:p w14:paraId="7008F896" w14:textId="77777777" w:rsidR="00276AE1" w:rsidRDefault="00276AE1" w:rsidP="00760EE7">
      <w:pPr>
        <w:rPr>
          <w:rFonts w:asciiTheme="minorHAnsi" w:hAnsiTheme="minorHAnsi" w:cstheme="minorHAnsi"/>
          <w:sz w:val="22"/>
          <w:szCs w:val="22"/>
        </w:rPr>
      </w:pPr>
    </w:p>
    <w:p w14:paraId="6C6E908A" w14:textId="03E55C1A" w:rsidR="00760EE7" w:rsidRPr="00760EE7" w:rsidRDefault="00760EE7" w:rsidP="00760EE7">
      <w:pPr>
        <w:rPr>
          <w:rFonts w:asciiTheme="minorHAnsi" w:hAnsiTheme="minorHAnsi" w:cstheme="minorHAnsi"/>
          <w:sz w:val="22"/>
          <w:szCs w:val="22"/>
        </w:rPr>
      </w:pPr>
      <w:r w:rsidRPr="00760EE7">
        <w:rPr>
          <w:rFonts w:asciiTheme="minorHAnsi" w:hAnsiTheme="minorHAnsi" w:cstheme="minorHAnsi"/>
          <w:sz w:val="22"/>
          <w:szCs w:val="22"/>
        </w:rPr>
        <w:t xml:space="preserve">Ammesso il Bonus facciate per un intervento eseguito da un’impresa su un proprio immobile “patrimonio”. Il beneficio spetta anche per l’isolamento dell'involucro esterno dell’edificio, compreso il cd. "sporto di gronda", nonché per le ulteriori opere, come lo spostamento dei pluviali e la sostituzione dei davanzali, che sono strettamente collegate alla realizzazione dell'intervento. </w:t>
      </w:r>
    </w:p>
    <w:p w14:paraId="4F5EE0A0" w14:textId="77777777" w:rsidR="00760EE7" w:rsidRDefault="00760EE7" w:rsidP="00760EE7">
      <w:pPr>
        <w:rPr>
          <w:rFonts w:asciiTheme="minorHAnsi" w:hAnsiTheme="minorHAnsi" w:cstheme="minorHAnsi"/>
          <w:sz w:val="22"/>
          <w:szCs w:val="22"/>
        </w:rPr>
      </w:pPr>
    </w:p>
    <w:p w14:paraId="68ABE0A9" w14:textId="36F913C1" w:rsidR="00760EE7" w:rsidRPr="00760EE7" w:rsidRDefault="00760EE7" w:rsidP="00760EE7">
      <w:pPr>
        <w:rPr>
          <w:rFonts w:asciiTheme="minorHAnsi" w:hAnsiTheme="minorHAnsi" w:cstheme="minorHAnsi"/>
          <w:sz w:val="22"/>
          <w:szCs w:val="22"/>
        </w:rPr>
      </w:pPr>
      <w:r w:rsidRPr="00760EE7">
        <w:rPr>
          <w:rFonts w:asciiTheme="minorHAnsi" w:hAnsiTheme="minorHAnsi" w:cstheme="minorHAnsi"/>
          <w:sz w:val="22"/>
          <w:szCs w:val="22"/>
        </w:rPr>
        <w:t xml:space="preserve">Così si è espressa l’Agenzia delle Entrate, rispettivamente nella Risposta n.517/E del 2 novembre e nella Risposta n.520/E del 3 novembre 2020, in relazione a due istanze d’interpello aventi ad oggetto l’applicabilità del Bonus facciate, ovvero della </w:t>
      </w:r>
      <w:r w:rsidRPr="00082379">
        <w:rPr>
          <w:rFonts w:asciiTheme="minorHAnsi" w:hAnsiTheme="minorHAnsi" w:cstheme="minorHAnsi"/>
          <w:b/>
          <w:bCs/>
          <w:sz w:val="22"/>
          <w:szCs w:val="22"/>
        </w:rPr>
        <w:t>detrazione del 90% delle spese sostenute</w:t>
      </w:r>
      <w:r w:rsidRPr="00760EE7">
        <w:rPr>
          <w:rFonts w:asciiTheme="minorHAnsi" w:hAnsiTheme="minorHAnsi" w:cstheme="minorHAnsi"/>
          <w:sz w:val="22"/>
          <w:szCs w:val="22"/>
        </w:rPr>
        <w:t xml:space="preserve">, dal 1° gennaio al 31 dicembre 2020, per interventi di recupero sulle strutture opache, sui balconi o sugli ornamenti e fregi delle facciate esterne degli edifici. </w:t>
      </w:r>
    </w:p>
    <w:p w14:paraId="6CBF5105" w14:textId="77777777" w:rsidR="00760EE7" w:rsidRDefault="00760EE7" w:rsidP="00760EE7">
      <w:pPr>
        <w:rPr>
          <w:rFonts w:asciiTheme="minorHAnsi" w:hAnsiTheme="minorHAnsi" w:cstheme="minorHAnsi"/>
          <w:sz w:val="22"/>
          <w:szCs w:val="22"/>
        </w:rPr>
      </w:pPr>
    </w:p>
    <w:p w14:paraId="24D6AE34" w14:textId="60DE43C9" w:rsidR="00760EE7" w:rsidRPr="00760EE7" w:rsidRDefault="00760EE7" w:rsidP="00760EE7">
      <w:pPr>
        <w:rPr>
          <w:rFonts w:asciiTheme="minorHAnsi" w:hAnsiTheme="minorHAnsi" w:cstheme="minorHAnsi"/>
          <w:sz w:val="22"/>
          <w:szCs w:val="22"/>
        </w:rPr>
      </w:pPr>
      <w:r w:rsidRPr="00760EE7">
        <w:rPr>
          <w:rFonts w:asciiTheme="minorHAnsi" w:hAnsiTheme="minorHAnsi" w:cstheme="minorHAnsi"/>
          <w:sz w:val="22"/>
          <w:szCs w:val="22"/>
        </w:rPr>
        <w:t xml:space="preserve">Al riguardo, richiamando i chiarimenti forniti con la C.M. 2/E/2020, l'Amministrazione </w:t>
      </w:r>
      <w:r w:rsidR="00082379">
        <w:rPr>
          <w:rFonts w:asciiTheme="minorHAnsi" w:hAnsiTheme="minorHAnsi" w:cstheme="minorHAnsi"/>
          <w:sz w:val="22"/>
          <w:szCs w:val="22"/>
        </w:rPr>
        <w:t>f</w:t>
      </w:r>
      <w:r w:rsidRPr="00760EE7">
        <w:rPr>
          <w:rFonts w:asciiTheme="minorHAnsi" w:hAnsiTheme="minorHAnsi" w:cstheme="minorHAnsi"/>
          <w:sz w:val="22"/>
          <w:szCs w:val="22"/>
        </w:rPr>
        <w:t xml:space="preserve">inanziaria: </w:t>
      </w:r>
    </w:p>
    <w:p w14:paraId="050A51F7" w14:textId="77777777" w:rsidR="00082379" w:rsidRDefault="00082379" w:rsidP="00760EE7">
      <w:pPr>
        <w:rPr>
          <w:rFonts w:asciiTheme="minorHAnsi" w:hAnsiTheme="minorHAnsi" w:cstheme="minorHAnsi"/>
          <w:sz w:val="22"/>
          <w:szCs w:val="22"/>
        </w:rPr>
      </w:pPr>
    </w:p>
    <w:p w14:paraId="5AE5CF90" w14:textId="779CEC6B" w:rsidR="00760EE7" w:rsidRPr="00082379" w:rsidRDefault="00082379" w:rsidP="00760EE7">
      <w:pPr>
        <w:rPr>
          <w:rFonts w:asciiTheme="minorHAnsi" w:hAnsiTheme="minorHAnsi" w:cstheme="minorHAnsi"/>
          <w:b/>
          <w:bCs/>
          <w:sz w:val="22"/>
          <w:szCs w:val="22"/>
        </w:rPr>
      </w:pPr>
      <w:r w:rsidRPr="00082379">
        <w:rPr>
          <w:rFonts w:asciiTheme="minorHAnsi" w:hAnsiTheme="minorHAnsi" w:cstheme="minorHAnsi"/>
          <w:b/>
          <w:bCs/>
          <w:sz w:val="22"/>
          <w:szCs w:val="22"/>
        </w:rPr>
        <w:t xml:space="preserve">con la </w:t>
      </w:r>
      <w:r w:rsidR="00760EE7" w:rsidRPr="00082379">
        <w:rPr>
          <w:rFonts w:asciiTheme="minorHAnsi" w:hAnsiTheme="minorHAnsi" w:cstheme="minorHAnsi"/>
          <w:b/>
          <w:bCs/>
          <w:sz w:val="22"/>
          <w:szCs w:val="22"/>
        </w:rPr>
        <w:t xml:space="preserve">Risposta n.517/E/2020 </w:t>
      </w:r>
    </w:p>
    <w:p w14:paraId="3D58BCE0" w14:textId="77777777" w:rsidR="00760EE7" w:rsidRPr="00760EE7" w:rsidRDefault="00760EE7" w:rsidP="00760EE7">
      <w:pPr>
        <w:pStyle w:val="Paragrafoelenco"/>
        <w:numPr>
          <w:ilvl w:val="0"/>
          <w:numId w:val="33"/>
        </w:numPr>
        <w:rPr>
          <w:rFonts w:asciiTheme="minorHAnsi" w:hAnsiTheme="minorHAnsi" w:cstheme="minorHAnsi"/>
        </w:rPr>
      </w:pPr>
      <w:r w:rsidRPr="00760EE7">
        <w:rPr>
          <w:rFonts w:asciiTheme="minorHAnsi" w:hAnsiTheme="minorHAnsi" w:cstheme="minorHAnsi"/>
        </w:rPr>
        <w:t xml:space="preserve">conferma che beneficiano della detrazione anche i soggetti titolari di reddito d'impresa, per gli interventi eseguiti sia sugli immobili strumentali, sia sugli “immobili patrimonio" (ovvero i beni che non sono né strumentali, né “merce”). Nel caso di specie, quindi, in presenza di tutte le condizioni richieste dalla disciplina agevolativa, la società istante può usufruire del Bonus facciate per le unità a destinazione residenziale possedute, come “immobili patrimonio”, nell’edificio oggetto degli interventi. L’agevolazione, infatti, è volta ad incentivare gli interventi edilizi finalizzati genericamente a migliorare il decoro urbano; </w:t>
      </w:r>
    </w:p>
    <w:p w14:paraId="1052B6FE" w14:textId="7C095DB7" w:rsidR="00760EE7" w:rsidRPr="00082379" w:rsidRDefault="00082379" w:rsidP="00760EE7">
      <w:pPr>
        <w:rPr>
          <w:rFonts w:asciiTheme="minorHAnsi" w:hAnsiTheme="minorHAnsi" w:cstheme="minorHAnsi"/>
          <w:b/>
          <w:bCs/>
          <w:sz w:val="22"/>
          <w:szCs w:val="22"/>
        </w:rPr>
      </w:pPr>
      <w:r w:rsidRPr="00082379">
        <w:rPr>
          <w:rFonts w:asciiTheme="minorHAnsi" w:hAnsiTheme="minorHAnsi" w:cstheme="minorHAnsi"/>
          <w:b/>
          <w:bCs/>
          <w:sz w:val="22"/>
          <w:szCs w:val="22"/>
        </w:rPr>
        <w:t xml:space="preserve">con la </w:t>
      </w:r>
      <w:r w:rsidR="00760EE7" w:rsidRPr="00082379">
        <w:rPr>
          <w:rFonts w:asciiTheme="minorHAnsi" w:hAnsiTheme="minorHAnsi" w:cstheme="minorHAnsi"/>
          <w:b/>
          <w:bCs/>
          <w:sz w:val="22"/>
          <w:szCs w:val="22"/>
        </w:rPr>
        <w:t xml:space="preserve">Risposta n.520/E/2020 </w:t>
      </w:r>
    </w:p>
    <w:p w14:paraId="5042EB0A" w14:textId="0E5D4067" w:rsidR="00760EE7" w:rsidRPr="00760EE7" w:rsidRDefault="00760EE7" w:rsidP="00760EE7">
      <w:pPr>
        <w:pStyle w:val="Paragrafoelenco"/>
        <w:numPr>
          <w:ilvl w:val="0"/>
          <w:numId w:val="33"/>
        </w:numPr>
        <w:rPr>
          <w:rFonts w:asciiTheme="minorHAnsi" w:hAnsiTheme="minorHAnsi" w:cstheme="minorHAnsi"/>
        </w:rPr>
      </w:pPr>
      <w:r w:rsidRPr="00760EE7">
        <w:rPr>
          <w:rFonts w:asciiTheme="minorHAnsi" w:hAnsiTheme="minorHAnsi" w:cstheme="minorHAnsi"/>
        </w:rPr>
        <w:t xml:space="preserve">chiarisce che sono agevolate con il Bonus facciate le spese relative agli interventi di isolamento sull'involucro esterno visibile dell'edificio, comprensivo dello "sporto di gronda", tenuto conto che quest’ultimo è un elemento relativo alla parte opaca della facciata; </w:t>
      </w:r>
    </w:p>
    <w:p w14:paraId="323FC463" w14:textId="77777777" w:rsidR="00760EE7" w:rsidRPr="00760EE7" w:rsidRDefault="00760EE7" w:rsidP="00760EE7">
      <w:pPr>
        <w:pStyle w:val="Paragrafoelenco"/>
        <w:numPr>
          <w:ilvl w:val="0"/>
          <w:numId w:val="33"/>
        </w:numPr>
        <w:rPr>
          <w:rFonts w:asciiTheme="minorHAnsi" w:hAnsiTheme="minorHAnsi" w:cstheme="minorHAnsi"/>
        </w:rPr>
      </w:pPr>
      <w:r w:rsidRPr="00760EE7">
        <w:rPr>
          <w:rFonts w:asciiTheme="minorHAnsi" w:hAnsiTheme="minorHAnsi" w:cstheme="minorHAnsi"/>
        </w:rPr>
        <w:t xml:space="preserve">fa rientrare nel beneficio anche i lavori aggiuntivi, consistenti nello spostamento dei pluviali, nella sostituzione dei davanzali e nella sistemazione di prese e punti luce esterni, nello smontaggio, rimontaggio e sostituzione delle tende solari, nel caso in cui ciò si rendesse necessario per motivi tecnici. Infatti, tali lavori sono qualificabili come “opere accessorie e di completamento dell'intervento di isolamento delle facciate esterne nel suo insieme, i cui costi sono strettamente collegati alla realizzazione dell'intervento stesso”; </w:t>
      </w:r>
    </w:p>
    <w:p w14:paraId="535DD711" w14:textId="627A22E8" w:rsidR="00760EE7" w:rsidRPr="00760EE7" w:rsidRDefault="00760EE7" w:rsidP="00760EE7">
      <w:pPr>
        <w:pStyle w:val="Paragrafoelenco"/>
        <w:numPr>
          <w:ilvl w:val="0"/>
          <w:numId w:val="33"/>
        </w:numPr>
        <w:rPr>
          <w:rFonts w:asciiTheme="minorHAnsi" w:hAnsiTheme="minorHAnsi" w:cstheme="minorHAnsi"/>
        </w:rPr>
      </w:pPr>
      <w:r w:rsidRPr="00760EE7">
        <w:rPr>
          <w:rFonts w:asciiTheme="minorHAnsi" w:hAnsiTheme="minorHAnsi" w:cstheme="minorHAnsi"/>
        </w:rPr>
        <w:t xml:space="preserve">esclude dall’agevolazione le spese riferite alle facciate interne dell'edificio (se non visibili dalla strada o da suolo ad uso pubblico), ed alle strutture opache orizzontali o inclinate dell'involucro edilizio. Infine, l’Agenzia delle Entrate ricorda che il DL 34/2020 convertito nella legge 77/2020 </w:t>
      </w:r>
      <w:r w:rsidR="00082379">
        <w:rPr>
          <w:rFonts w:asciiTheme="minorHAnsi" w:hAnsiTheme="minorHAnsi" w:cstheme="minorHAnsi"/>
        </w:rPr>
        <w:t xml:space="preserve">(Decreto </w:t>
      </w:r>
      <w:r w:rsidRPr="00760EE7">
        <w:rPr>
          <w:rFonts w:asciiTheme="minorHAnsi" w:hAnsiTheme="minorHAnsi" w:cstheme="minorHAnsi"/>
        </w:rPr>
        <w:t xml:space="preserve">Rilancio) ha ampliato l’ambito oggettivo e soggettivo della cessione del credito estendendola, tra l’altro, anche al Bonus facciate, ed ha introdotto anche la possibilità di optare, in alternativa all’utilizzo diretto in detrazione e alla cessione, anche per lo sconto sul corrispettivo anticipato dal fornitore e da questi poi recuperato </w:t>
      </w:r>
      <w:r w:rsidRPr="00760EE7">
        <w:rPr>
          <w:rFonts w:asciiTheme="minorHAnsi" w:hAnsiTheme="minorHAnsi" w:cstheme="minorHAnsi"/>
        </w:rPr>
        <w:lastRenderedPageBreak/>
        <w:t xml:space="preserve">sotto forma di credito di imposta cedibile (secondo le modalità stabilite dai </w:t>
      </w:r>
      <w:r w:rsidR="00082379">
        <w:rPr>
          <w:rFonts w:asciiTheme="minorHAnsi" w:hAnsiTheme="minorHAnsi" w:cstheme="minorHAnsi"/>
        </w:rPr>
        <w:t>p</w:t>
      </w:r>
      <w:r w:rsidRPr="00760EE7">
        <w:rPr>
          <w:rFonts w:asciiTheme="minorHAnsi" w:hAnsiTheme="minorHAnsi" w:cstheme="minorHAnsi"/>
        </w:rPr>
        <w:t>rovvedimenti n.283847 dell’ 8 agosto 2020 e n.326047 del 12 ottobre 2020).</w:t>
      </w:r>
    </w:p>
    <w:p w14:paraId="39BE74C0" w14:textId="77777777" w:rsidR="00B00A2F" w:rsidRDefault="00B00A2F" w:rsidP="00B00A2F">
      <w:pPr>
        <w:spacing w:line="360" w:lineRule="atLeast"/>
      </w:pPr>
    </w:p>
    <w:p w14:paraId="6F5E2610" w14:textId="77777777" w:rsidR="00B00A2F" w:rsidRPr="00466A5F" w:rsidRDefault="00B00A2F" w:rsidP="00C3700B">
      <w:pPr>
        <w:rPr>
          <w:rFonts w:ascii="Calibri" w:hAnsi="Calibri" w:cs="Calibri Light"/>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48FA35B9" w14:textId="4561F932" w:rsidR="008009D5" w:rsidRPr="008D11A5"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0D3F0A"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0D3F0A">
        <w:rPr>
          <w:rFonts w:ascii="Calibri" w:hAnsi="Calibri" w:cs="Calibri"/>
          <w:sz w:val="22"/>
          <w:szCs w:val="22"/>
          <w:lang w:val="en-US"/>
        </w:rPr>
        <w:t xml:space="preserve">Email: </w:t>
      </w:r>
      <w:hyperlink r:id="rId7" w:history="1">
        <w:r w:rsidRPr="000D3F0A">
          <w:rPr>
            <w:rFonts w:ascii="Calibri" w:hAnsi="Calibri" w:cs="Calibri"/>
            <w:color w:val="0000FF"/>
            <w:sz w:val="22"/>
            <w:szCs w:val="22"/>
            <w:u w:val="single"/>
            <w:lang w:val="en-US"/>
          </w:rPr>
          <w:t>vignaroli@confindustria.umbria.it</w:t>
        </w:r>
      </w:hyperlink>
      <w:r w:rsidRPr="000D3F0A">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w:t>
      </w:r>
      <w:hyperlink r:id="rId8"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2A93AA1F" w:rsidR="00783E6E" w:rsidRPr="00777439" w:rsidRDefault="00952E48" w:rsidP="000A4D82">
      <w:pPr>
        <w:tabs>
          <w:tab w:val="left" w:pos="720"/>
          <w:tab w:val="left" w:pos="900"/>
          <w:tab w:val="left" w:pos="1260"/>
          <w:tab w:val="left" w:pos="5580"/>
          <w:tab w:val="left" w:pos="6120"/>
        </w:tabs>
        <w:ind w:right="-2"/>
        <w:jc w:val="right"/>
        <w:rPr>
          <w:rFonts w:ascii="Calibri" w:hAnsi="Calibri" w:cs="Calibri"/>
          <w:sz w:val="22"/>
          <w:szCs w:val="22"/>
        </w:rPr>
      </w:pPr>
      <w:r w:rsidRPr="00A00EBE">
        <w:rPr>
          <w:rFonts w:ascii="Calibri" w:hAnsi="Calibri" w:cs="Calibri"/>
          <w:sz w:val="22"/>
          <w:szCs w:val="22"/>
        </w:rPr>
        <w:t xml:space="preserve">Pubblicato il </w:t>
      </w:r>
      <w:r w:rsidR="00082379">
        <w:rPr>
          <w:rFonts w:ascii="Calibri" w:hAnsi="Calibri" w:cs="Calibri"/>
          <w:sz w:val="22"/>
          <w:szCs w:val="22"/>
        </w:rPr>
        <w:t>10</w:t>
      </w:r>
      <w:r w:rsidR="00A66B46" w:rsidRPr="00A00EBE">
        <w:rPr>
          <w:rFonts w:ascii="Calibri" w:hAnsi="Calibri" w:cs="Calibri"/>
          <w:sz w:val="22"/>
          <w:szCs w:val="22"/>
        </w:rPr>
        <w:t>/</w:t>
      </w:r>
      <w:r w:rsidR="00284A92">
        <w:rPr>
          <w:rFonts w:ascii="Calibri" w:hAnsi="Calibri" w:cs="Calibri"/>
          <w:sz w:val="22"/>
          <w:szCs w:val="22"/>
        </w:rPr>
        <w:t>11</w:t>
      </w:r>
      <w:r w:rsidR="00A66B46" w:rsidRPr="00A00EBE">
        <w:rPr>
          <w:rFonts w:ascii="Calibri" w:hAnsi="Calibri" w:cs="Calibri"/>
          <w:sz w:val="22"/>
          <w:szCs w:val="22"/>
        </w:rPr>
        <w:t>/2020</w:t>
      </w:r>
    </w:p>
    <w:sectPr w:rsidR="00783E6E" w:rsidRPr="00777439"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A9B01" w14:textId="77777777" w:rsidR="00C52EC1" w:rsidRDefault="00C52EC1">
      <w:r>
        <w:separator/>
      </w:r>
    </w:p>
  </w:endnote>
  <w:endnote w:type="continuationSeparator" w:id="0">
    <w:p w14:paraId="3C0AEB2B" w14:textId="77777777" w:rsidR="00C52EC1" w:rsidRDefault="00C5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CF7C" w14:textId="77777777" w:rsidR="00C52EC1" w:rsidRDefault="00C52EC1">
      <w:r>
        <w:separator/>
      </w:r>
    </w:p>
  </w:footnote>
  <w:footnote w:type="continuationSeparator" w:id="0">
    <w:p w14:paraId="1A2D946F" w14:textId="77777777" w:rsidR="00C52EC1" w:rsidRDefault="00C5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31A04B00" w:rsidR="001867E9" w:rsidRDefault="00114E20">
          <w:pPr>
            <w:tabs>
              <w:tab w:val="left" w:pos="720"/>
              <w:tab w:val="left" w:pos="900"/>
              <w:tab w:val="left" w:pos="1260"/>
              <w:tab w:val="left" w:pos="1980"/>
            </w:tabs>
          </w:pPr>
          <w:r>
            <w:rPr>
              <w:noProof/>
              <w:color w:val="205394"/>
            </w:rPr>
            <w:drawing>
              <wp:inline distT="0" distB="0" distL="0" distR="0" wp14:anchorId="6656F282" wp14:editId="77451E17">
                <wp:extent cx="526415" cy="49149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49149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577679"/>
    <w:multiLevelType w:val="hybridMultilevel"/>
    <w:tmpl w:val="E056D794"/>
    <w:lvl w:ilvl="0" w:tplc="19C06018">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B4882"/>
    <w:multiLevelType w:val="multilevel"/>
    <w:tmpl w:val="AD8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015F26"/>
    <w:multiLevelType w:val="hybridMultilevel"/>
    <w:tmpl w:val="E72ACC98"/>
    <w:lvl w:ilvl="0" w:tplc="CFFA30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21"/>
  </w:num>
  <w:num w:numId="2">
    <w:abstractNumId w:val="17"/>
  </w:num>
  <w:num w:numId="3">
    <w:abstractNumId w:val="22"/>
  </w:num>
  <w:num w:numId="4">
    <w:abstractNumId w:val="12"/>
  </w:num>
  <w:num w:numId="5">
    <w:abstractNumId w:val="2"/>
  </w:num>
  <w:num w:numId="6">
    <w:abstractNumId w:val="13"/>
  </w:num>
  <w:num w:numId="7">
    <w:abstractNumId w:val="16"/>
  </w:num>
  <w:num w:numId="8">
    <w:abstractNumId w:val="26"/>
  </w:num>
  <w:num w:numId="9">
    <w:abstractNumId w:val="31"/>
  </w:num>
  <w:num w:numId="10">
    <w:abstractNumId w:val="25"/>
  </w:num>
  <w:num w:numId="11">
    <w:abstractNumId w:val="14"/>
  </w:num>
  <w:num w:numId="12">
    <w:abstractNumId w:val="23"/>
  </w:num>
  <w:num w:numId="13">
    <w:abstractNumId w:val="5"/>
  </w:num>
  <w:num w:numId="14">
    <w:abstractNumId w:val="11"/>
  </w:num>
  <w:num w:numId="15">
    <w:abstractNumId w:val="0"/>
  </w:num>
  <w:num w:numId="16">
    <w:abstractNumId w:val="3"/>
  </w:num>
  <w:num w:numId="17">
    <w:abstractNumId w:val="18"/>
  </w:num>
  <w:num w:numId="18">
    <w:abstractNumId w:val="1"/>
  </w:num>
  <w:num w:numId="19">
    <w:abstractNumId w:val="27"/>
  </w:num>
  <w:num w:numId="20">
    <w:abstractNumId w:val="19"/>
  </w:num>
  <w:num w:numId="21">
    <w:abstractNumId w:val="7"/>
  </w:num>
  <w:num w:numId="22">
    <w:abstractNumId w:val="30"/>
  </w:num>
  <w:num w:numId="23">
    <w:abstractNumId w:val="15"/>
  </w:num>
  <w:num w:numId="24">
    <w:abstractNumId w:val="8"/>
  </w:num>
  <w:num w:numId="25">
    <w:abstractNumId w:val="4"/>
  </w:num>
  <w:num w:numId="26">
    <w:abstractNumId w:val="6"/>
  </w:num>
  <w:num w:numId="27">
    <w:abstractNumId w:val="29"/>
  </w:num>
  <w:num w:numId="28">
    <w:abstractNumId w:val="24"/>
  </w:num>
  <w:num w:numId="29">
    <w:abstractNumId w:val="9"/>
  </w:num>
  <w:num w:numId="30">
    <w:abstractNumId w:val="32"/>
  </w:num>
  <w:num w:numId="31">
    <w:abstractNumId w:val="20"/>
  </w:num>
  <w:num w:numId="32">
    <w:abstractNumId w:val="10"/>
  </w:num>
  <w:num w:numId="3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67218"/>
    <w:rsid w:val="00080ADD"/>
    <w:rsid w:val="00082379"/>
    <w:rsid w:val="00084DD6"/>
    <w:rsid w:val="00086200"/>
    <w:rsid w:val="00087150"/>
    <w:rsid w:val="00090452"/>
    <w:rsid w:val="0009085F"/>
    <w:rsid w:val="00091677"/>
    <w:rsid w:val="00094BA5"/>
    <w:rsid w:val="000969C3"/>
    <w:rsid w:val="000A323E"/>
    <w:rsid w:val="000A39AE"/>
    <w:rsid w:val="000A4D82"/>
    <w:rsid w:val="000B06C6"/>
    <w:rsid w:val="000B2103"/>
    <w:rsid w:val="000B75FE"/>
    <w:rsid w:val="000B7F4A"/>
    <w:rsid w:val="000C53BB"/>
    <w:rsid w:val="000C6553"/>
    <w:rsid w:val="000D0123"/>
    <w:rsid w:val="000D36C6"/>
    <w:rsid w:val="000D3F0A"/>
    <w:rsid w:val="000D4668"/>
    <w:rsid w:val="000D4ADA"/>
    <w:rsid w:val="000E38C9"/>
    <w:rsid w:val="000E5391"/>
    <w:rsid w:val="000E6DB1"/>
    <w:rsid w:val="000F19AF"/>
    <w:rsid w:val="00100C48"/>
    <w:rsid w:val="00103B58"/>
    <w:rsid w:val="0010566D"/>
    <w:rsid w:val="00114E20"/>
    <w:rsid w:val="0012613A"/>
    <w:rsid w:val="00126D4F"/>
    <w:rsid w:val="001311CA"/>
    <w:rsid w:val="00134010"/>
    <w:rsid w:val="00136808"/>
    <w:rsid w:val="001437A6"/>
    <w:rsid w:val="00151B1D"/>
    <w:rsid w:val="00151BDD"/>
    <w:rsid w:val="00160F19"/>
    <w:rsid w:val="00162768"/>
    <w:rsid w:val="001674E2"/>
    <w:rsid w:val="00172666"/>
    <w:rsid w:val="00181F9E"/>
    <w:rsid w:val="001867E9"/>
    <w:rsid w:val="001A0EA6"/>
    <w:rsid w:val="001A1B7F"/>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16BD5"/>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76AE1"/>
    <w:rsid w:val="00284A92"/>
    <w:rsid w:val="002905C3"/>
    <w:rsid w:val="00293463"/>
    <w:rsid w:val="00297F87"/>
    <w:rsid w:val="002A6DFD"/>
    <w:rsid w:val="002B7EEB"/>
    <w:rsid w:val="002D246E"/>
    <w:rsid w:val="002D2B28"/>
    <w:rsid w:val="002E4047"/>
    <w:rsid w:val="00300CDB"/>
    <w:rsid w:val="00306EA7"/>
    <w:rsid w:val="003114C4"/>
    <w:rsid w:val="00322729"/>
    <w:rsid w:val="00322EE8"/>
    <w:rsid w:val="00326815"/>
    <w:rsid w:val="003347DC"/>
    <w:rsid w:val="003360E9"/>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2ABC"/>
    <w:rsid w:val="003E5874"/>
    <w:rsid w:val="003E63C1"/>
    <w:rsid w:val="0041047E"/>
    <w:rsid w:val="0041177C"/>
    <w:rsid w:val="0042052A"/>
    <w:rsid w:val="0042117E"/>
    <w:rsid w:val="004353E3"/>
    <w:rsid w:val="004414A4"/>
    <w:rsid w:val="00442812"/>
    <w:rsid w:val="004435C3"/>
    <w:rsid w:val="00445DF1"/>
    <w:rsid w:val="00453A9A"/>
    <w:rsid w:val="00454209"/>
    <w:rsid w:val="00461827"/>
    <w:rsid w:val="00465747"/>
    <w:rsid w:val="00466A5F"/>
    <w:rsid w:val="00472D2B"/>
    <w:rsid w:val="00474ADE"/>
    <w:rsid w:val="00481D3A"/>
    <w:rsid w:val="00483E55"/>
    <w:rsid w:val="004963B3"/>
    <w:rsid w:val="004A2213"/>
    <w:rsid w:val="004A43B9"/>
    <w:rsid w:val="004A5095"/>
    <w:rsid w:val="004B0EF1"/>
    <w:rsid w:val="004B5C7B"/>
    <w:rsid w:val="004B691C"/>
    <w:rsid w:val="004C1CE6"/>
    <w:rsid w:val="004C2CC8"/>
    <w:rsid w:val="004D48E8"/>
    <w:rsid w:val="004D4957"/>
    <w:rsid w:val="004E0C94"/>
    <w:rsid w:val="004E62C8"/>
    <w:rsid w:val="004F2D22"/>
    <w:rsid w:val="004F5EEF"/>
    <w:rsid w:val="00517FCD"/>
    <w:rsid w:val="00520F32"/>
    <w:rsid w:val="0053112D"/>
    <w:rsid w:val="00531CA4"/>
    <w:rsid w:val="00532215"/>
    <w:rsid w:val="00532542"/>
    <w:rsid w:val="00546306"/>
    <w:rsid w:val="00552D0E"/>
    <w:rsid w:val="00556744"/>
    <w:rsid w:val="005615FE"/>
    <w:rsid w:val="00565BA4"/>
    <w:rsid w:val="00570DF9"/>
    <w:rsid w:val="00571AA5"/>
    <w:rsid w:val="00580D22"/>
    <w:rsid w:val="005952A0"/>
    <w:rsid w:val="005A2227"/>
    <w:rsid w:val="005A2FBD"/>
    <w:rsid w:val="005A6420"/>
    <w:rsid w:val="005A68AC"/>
    <w:rsid w:val="005B68CD"/>
    <w:rsid w:val="005C35FE"/>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05DF"/>
    <w:rsid w:val="00744DE8"/>
    <w:rsid w:val="00747106"/>
    <w:rsid w:val="0075722D"/>
    <w:rsid w:val="00760EE7"/>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283D"/>
    <w:rsid w:val="007F7D2A"/>
    <w:rsid w:val="008009D5"/>
    <w:rsid w:val="00801AE3"/>
    <w:rsid w:val="0080382C"/>
    <w:rsid w:val="008050CE"/>
    <w:rsid w:val="00812C76"/>
    <w:rsid w:val="00814B6A"/>
    <w:rsid w:val="0082055D"/>
    <w:rsid w:val="00827AA4"/>
    <w:rsid w:val="0083206A"/>
    <w:rsid w:val="008324D4"/>
    <w:rsid w:val="00842CAC"/>
    <w:rsid w:val="00846546"/>
    <w:rsid w:val="008649FC"/>
    <w:rsid w:val="0089242A"/>
    <w:rsid w:val="00895D5A"/>
    <w:rsid w:val="008A68D2"/>
    <w:rsid w:val="008B5620"/>
    <w:rsid w:val="008C1727"/>
    <w:rsid w:val="008C21F3"/>
    <w:rsid w:val="008C6FB9"/>
    <w:rsid w:val="008D047B"/>
    <w:rsid w:val="008D11A5"/>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94F5D"/>
    <w:rsid w:val="00AA3206"/>
    <w:rsid w:val="00AA755B"/>
    <w:rsid w:val="00AA7A03"/>
    <w:rsid w:val="00AB5961"/>
    <w:rsid w:val="00AC09F6"/>
    <w:rsid w:val="00AC0DA4"/>
    <w:rsid w:val="00AC1A58"/>
    <w:rsid w:val="00AC363E"/>
    <w:rsid w:val="00AC7651"/>
    <w:rsid w:val="00AD53C0"/>
    <w:rsid w:val="00AD6736"/>
    <w:rsid w:val="00AE3B49"/>
    <w:rsid w:val="00AE4116"/>
    <w:rsid w:val="00AE4612"/>
    <w:rsid w:val="00AE484B"/>
    <w:rsid w:val="00AE7C4C"/>
    <w:rsid w:val="00AF1207"/>
    <w:rsid w:val="00AF303A"/>
    <w:rsid w:val="00AF4404"/>
    <w:rsid w:val="00AF4D79"/>
    <w:rsid w:val="00AF6300"/>
    <w:rsid w:val="00B00A2F"/>
    <w:rsid w:val="00B1385A"/>
    <w:rsid w:val="00B20995"/>
    <w:rsid w:val="00B27B4F"/>
    <w:rsid w:val="00B27DA0"/>
    <w:rsid w:val="00B34B96"/>
    <w:rsid w:val="00B44EC6"/>
    <w:rsid w:val="00B55997"/>
    <w:rsid w:val="00B56F41"/>
    <w:rsid w:val="00B57D0A"/>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BF5417"/>
    <w:rsid w:val="00BF583A"/>
    <w:rsid w:val="00C108FF"/>
    <w:rsid w:val="00C10A7A"/>
    <w:rsid w:val="00C13B4C"/>
    <w:rsid w:val="00C24A9A"/>
    <w:rsid w:val="00C27714"/>
    <w:rsid w:val="00C3700B"/>
    <w:rsid w:val="00C433AC"/>
    <w:rsid w:val="00C46AA6"/>
    <w:rsid w:val="00C52EC1"/>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3FB6"/>
    <w:rsid w:val="00CC42BA"/>
    <w:rsid w:val="00CC5C44"/>
    <w:rsid w:val="00CD2F0A"/>
    <w:rsid w:val="00CD4A8E"/>
    <w:rsid w:val="00CF2B9F"/>
    <w:rsid w:val="00CF307B"/>
    <w:rsid w:val="00D05B8F"/>
    <w:rsid w:val="00D06063"/>
    <w:rsid w:val="00D102CD"/>
    <w:rsid w:val="00D12686"/>
    <w:rsid w:val="00D12E1E"/>
    <w:rsid w:val="00D13CAB"/>
    <w:rsid w:val="00D21307"/>
    <w:rsid w:val="00D2250C"/>
    <w:rsid w:val="00D24A1C"/>
    <w:rsid w:val="00D25CF8"/>
    <w:rsid w:val="00D27A1C"/>
    <w:rsid w:val="00D30E39"/>
    <w:rsid w:val="00D327D9"/>
    <w:rsid w:val="00D32FC7"/>
    <w:rsid w:val="00D35077"/>
    <w:rsid w:val="00D403FB"/>
    <w:rsid w:val="00D44C59"/>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15415"/>
    <w:rsid w:val="00E20570"/>
    <w:rsid w:val="00E209CB"/>
    <w:rsid w:val="00E25D34"/>
    <w:rsid w:val="00E273B4"/>
    <w:rsid w:val="00E31E8B"/>
    <w:rsid w:val="00E36D39"/>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82E7A"/>
    <w:rsid w:val="00F9163B"/>
    <w:rsid w:val="00F920E8"/>
    <w:rsid w:val="00F94CCF"/>
    <w:rsid w:val="00FA4B03"/>
    <w:rsid w:val="00FA52B2"/>
    <w:rsid w:val="00FC5166"/>
    <w:rsid w:val="00FC53D5"/>
    <w:rsid w:val="00FC6664"/>
    <w:rsid w:val="00FC7F5F"/>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cini@confindustria.umbria.it" TargetMode="External"/><Relationship Id="rId3" Type="http://schemas.openxmlformats.org/officeDocument/2006/relationships/settings" Target="settings.xml"/><Relationship Id="rId7" Type="http://schemas.openxmlformats.org/officeDocument/2006/relationships/hyperlink" Target="mailto:vignaroli@confindustria.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17</TotalTime>
  <Pages>2</Pages>
  <Words>557</Words>
  <Characters>3179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3729</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7</cp:revision>
  <cp:lastPrinted>2019-02-27T17:41:00Z</cp:lastPrinted>
  <dcterms:created xsi:type="dcterms:W3CDTF">2020-11-09T12:02:00Z</dcterms:created>
  <dcterms:modified xsi:type="dcterms:W3CDTF">2020-11-10T12:34:00Z</dcterms:modified>
</cp:coreProperties>
</file>