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03CA" w14:textId="5FC9BC7E" w:rsidR="008F6CB9" w:rsidRPr="00A33104" w:rsidRDefault="00217122" w:rsidP="00C00272">
      <w:pPr>
        <w:rPr>
          <w:rFonts w:asciiTheme="minorHAnsi" w:hAnsiTheme="minorHAnsi" w:cs="TimesNewRomanPSMT"/>
          <w:b/>
          <w:bCs/>
          <w:sz w:val="22"/>
          <w:szCs w:val="22"/>
        </w:rPr>
      </w:pPr>
      <w:r w:rsidRPr="005D47EB">
        <w:rPr>
          <w:rFonts w:asciiTheme="minorHAnsi" w:hAnsiTheme="minorHAnsi" w:cs="Calibri"/>
          <w:b/>
          <w:bCs/>
          <w:noProof/>
          <w:sz w:val="22"/>
          <w:szCs w:val="22"/>
        </w:rPr>
        <mc:AlternateContent>
          <mc:Choice Requires="wps">
            <w:drawing>
              <wp:anchor distT="0" distB="0" distL="114300" distR="114300" simplePos="0" relativeHeight="251657728" behindDoc="0" locked="0" layoutInCell="1" allowOverlap="1" wp14:anchorId="036903AB" wp14:editId="053BF6A3">
                <wp:simplePos x="0" y="0"/>
                <wp:positionH relativeFrom="column">
                  <wp:posOffset>-936625</wp:posOffset>
                </wp:positionH>
                <wp:positionV relativeFrom="paragraph">
                  <wp:posOffset>-304800</wp:posOffset>
                </wp:positionV>
                <wp:extent cx="7610475" cy="45720"/>
                <wp:effectExtent l="0" t="0" r="0" b="0"/>
                <wp:wrapNone/>
                <wp:docPr id="5" name="Segno di sott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45720"/>
                        </a:xfrm>
                        <a:prstGeom prst="mathMinus">
                          <a:avLst/>
                        </a:prstGeom>
                        <a:solidFill>
                          <a:srgbClr val="205394"/>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12E8" id="Segno di sottrazione 5" o:spid="_x0000_s1026" style="position:absolute;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" path="m1008768,17483r5592939,l6601707,28237r-5592939,l1008768,17483xe" fillcolor="#205394" strokecolor="#385d8a" strokeweight="1pt">
                <v:path arrowok="t" o:connecttype="custom" o:connectlocs="1008768,17483;6601707,17483;6601707,28237;1008768,28237;1008768,17483" o:connectangles="0,0,0,0,0"/>
              </v:shape>
            </w:pict>
          </mc:Fallback>
        </mc:AlternateContent>
      </w:r>
      <w:r w:rsidR="00AA2B14" w:rsidRPr="00AA2B14">
        <w:rPr>
          <w:rFonts w:asciiTheme="minorHAnsi" w:hAnsiTheme="minorHAnsi" w:cs="TimesNewRomanPSMT"/>
          <w:b/>
          <w:bCs/>
          <w:sz w:val="22"/>
          <w:szCs w:val="22"/>
        </w:rPr>
        <w:t>Concordato preventivo e compensazione del credito IVA</w:t>
      </w:r>
      <w:r w:rsidR="00A33104">
        <w:rPr>
          <w:rFonts w:asciiTheme="minorHAnsi" w:hAnsiTheme="minorHAnsi" w:cs="TimesNewRomanPSMT"/>
          <w:b/>
          <w:bCs/>
          <w:sz w:val="22"/>
          <w:szCs w:val="22"/>
        </w:rPr>
        <w:t xml:space="preserve">: </w:t>
      </w:r>
      <w:r w:rsidR="00A33104" w:rsidRPr="00A33104">
        <w:rPr>
          <w:rFonts w:asciiTheme="minorHAnsi" w:hAnsiTheme="minorHAnsi" w:cs="TimesNewRomanPSMT"/>
          <w:b/>
          <w:bCs/>
          <w:sz w:val="22"/>
          <w:szCs w:val="22"/>
        </w:rPr>
        <w:t>c</w:t>
      </w:r>
      <w:r w:rsidR="00AA2B14" w:rsidRPr="00A33104">
        <w:rPr>
          <w:rFonts w:asciiTheme="minorHAnsi" w:hAnsiTheme="minorHAnsi" w:cs="TimesNewRomanPSMT"/>
          <w:b/>
          <w:bCs/>
          <w:sz w:val="22"/>
          <w:szCs w:val="22"/>
        </w:rPr>
        <w:t>hiarimenti dell’Agenzia Entrate</w:t>
      </w:r>
    </w:p>
    <w:p w14:paraId="5B67B8F1" w14:textId="352ECC78" w:rsidR="007C0D05" w:rsidRDefault="007C0D05" w:rsidP="00C00272">
      <w:pPr>
        <w:rPr>
          <w:rFonts w:asciiTheme="minorHAnsi" w:hAnsiTheme="minorHAnsi" w:cs="TimesNewRomanPSMT"/>
          <w:b/>
          <w:bCs/>
          <w:sz w:val="22"/>
          <w:szCs w:val="22"/>
        </w:rPr>
      </w:pPr>
    </w:p>
    <w:p w14:paraId="22AD4248" w14:textId="2AEEC5A9" w:rsidR="00607560" w:rsidRPr="00A33104" w:rsidRDefault="00A33104" w:rsidP="00AA2B14">
      <w:pPr>
        <w:jc w:val="both"/>
        <w:rPr>
          <w:rFonts w:asciiTheme="minorHAnsi" w:hAnsiTheme="minorHAnsi" w:cstheme="minorHAnsi"/>
          <w:sz w:val="22"/>
          <w:szCs w:val="22"/>
        </w:rPr>
      </w:pPr>
      <w:r w:rsidRPr="00A33104">
        <w:rPr>
          <w:rFonts w:asciiTheme="minorHAnsi" w:hAnsiTheme="minorHAnsi" w:cstheme="minorHAnsi"/>
          <w:sz w:val="22"/>
          <w:szCs w:val="22"/>
        </w:rPr>
        <w:t xml:space="preserve">Quando è ammissibile </w:t>
      </w:r>
      <w:r>
        <w:rPr>
          <w:rFonts w:asciiTheme="minorHAnsi" w:hAnsiTheme="minorHAnsi" w:cstheme="minorHAnsi"/>
          <w:sz w:val="22"/>
          <w:szCs w:val="22"/>
        </w:rPr>
        <w:t>la compensazione con i debiti tributari</w:t>
      </w:r>
    </w:p>
    <w:p w14:paraId="0E27E08C" w14:textId="77777777" w:rsidR="00A33104" w:rsidRPr="00A33104" w:rsidRDefault="00A33104" w:rsidP="00AA2B14">
      <w:pPr>
        <w:jc w:val="both"/>
        <w:rPr>
          <w:rFonts w:asciiTheme="minorHAnsi" w:hAnsiTheme="minorHAnsi" w:cstheme="minorHAnsi"/>
          <w:sz w:val="22"/>
          <w:szCs w:val="22"/>
        </w:rPr>
      </w:pPr>
    </w:p>
    <w:p w14:paraId="3B50CCE2" w14:textId="77777777"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Ammessa la compensazione del credito IVA a seguito di operazioni eseguite in split payment con i debiti fiscali sorti entrambi dopo la domanda di concordato preventivo. Non è consentita la compensazione dei crediti IVA derivanti dal meccanismo dello split payment e maturati dopo la domanda di concordato preventivo, con i debiti tributari sorti prima della domanda. In tal caso, l’Amministrazione finanziaria deve accordare il rimborso del credito IVA, ai fini del quale, però, occorre la presentazione della garanzia, in presenza delle condizioni richieste dal Decreto IVA. </w:t>
      </w:r>
    </w:p>
    <w:p w14:paraId="1A9C76BD" w14:textId="77777777" w:rsidR="00AA2B14" w:rsidRDefault="00AA2B14" w:rsidP="00AA2B14">
      <w:pPr>
        <w:jc w:val="both"/>
        <w:rPr>
          <w:rFonts w:asciiTheme="minorHAnsi" w:hAnsiTheme="minorHAnsi" w:cstheme="minorHAnsi"/>
          <w:sz w:val="22"/>
          <w:szCs w:val="22"/>
        </w:rPr>
      </w:pPr>
    </w:p>
    <w:p w14:paraId="25D0C5B5" w14:textId="0DA08CD2"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Questi i principali chiarimenti in tema di concordato preventivo e compensazione del credito IVA forniti dall’Agenzia delle Entrate nelle </w:t>
      </w:r>
      <w:hyperlink r:id="rId7" w:history="1">
        <w:r w:rsidRPr="00AA2B14">
          <w:rPr>
            <w:rStyle w:val="Collegamentoipertestuale"/>
            <w:rFonts w:asciiTheme="minorHAnsi" w:hAnsiTheme="minorHAnsi" w:cstheme="minorHAnsi"/>
            <w:sz w:val="22"/>
            <w:szCs w:val="22"/>
          </w:rPr>
          <w:t>Risposte n. 535/E</w:t>
        </w:r>
      </w:hyperlink>
      <w:r w:rsidRPr="00AA2B14">
        <w:rPr>
          <w:rFonts w:asciiTheme="minorHAnsi" w:hAnsiTheme="minorHAnsi" w:cstheme="minorHAnsi"/>
          <w:sz w:val="22"/>
          <w:szCs w:val="22"/>
        </w:rPr>
        <w:t xml:space="preserve"> e </w:t>
      </w:r>
      <w:hyperlink r:id="rId8" w:history="1">
        <w:r w:rsidRPr="00AA2B14">
          <w:rPr>
            <w:rStyle w:val="Collegamentoipertestuale"/>
            <w:rFonts w:asciiTheme="minorHAnsi" w:hAnsiTheme="minorHAnsi" w:cstheme="minorHAnsi"/>
            <w:sz w:val="22"/>
            <w:szCs w:val="22"/>
          </w:rPr>
          <w:t>536/E</w:t>
        </w:r>
      </w:hyperlink>
      <w:r w:rsidRPr="00AA2B14">
        <w:rPr>
          <w:rFonts w:asciiTheme="minorHAnsi" w:hAnsiTheme="minorHAnsi" w:cstheme="minorHAnsi"/>
          <w:sz w:val="22"/>
          <w:szCs w:val="22"/>
        </w:rPr>
        <w:t xml:space="preserve"> entrambe del 6 novembre 2020. </w:t>
      </w:r>
    </w:p>
    <w:p w14:paraId="01B165F1" w14:textId="77777777" w:rsidR="00AA2B14" w:rsidRDefault="00AA2B14" w:rsidP="00AA2B14">
      <w:pPr>
        <w:jc w:val="both"/>
        <w:rPr>
          <w:rFonts w:asciiTheme="minorHAnsi" w:hAnsiTheme="minorHAnsi" w:cstheme="minorHAnsi"/>
          <w:sz w:val="22"/>
          <w:szCs w:val="22"/>
        </w:rPr>
      </w:pPr>
    </w:p>
    <w:p w14:paraId="553D6ECB" w14:textId="63470598" w:rsid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In particolare, con la </w:t>
      </w:r>
      <w:r w:rsidRPr="00AA2B14">
        <w:rPr>
          <w:rFonts w:asciiTheme="minorHAnsi" w:hAnsiTheme="minorHAnsi" w:cstheme="minorHAnsi"/>
          <w:b/>
          <w:bCs/>
          <w:sz w:val="22"/>
          <w:szCs w:val="22"/>
        </w:rPr>
        <w:t>Risposta n.535/E/2020</w:t>
      </w:r>
      <w:r w:rsidRPr="00AA2B14">
        <w:rPr>
          <w:rFonts w:asciiTheme="minorHAnsi" w:hAnsiTheme="minorHAnsi" w:cstheme="minorHAnsi"/>
          <w:sz w:val="22"/>
          <w:szCs w:val="22"/>
        </w:rPr>
        <w:t xml:space="preserve"> viene chiesto all’Agenzia delle Entrate se sia possibile richiedere il rimborso del credito IVA, sorto a seguito di operazioni effettuate in split payment e maturato dopo la pubblicazione della domanda di concordato, senza l'obbligo di prestare le garanzie di legge. </w:t>
      </w:r>
    </w:p>
    <w:p w14:paraId="36AE76A1" w14:textId="77777777" w:rsidR="00AA2B14" w:rsidRPr="00AA2B14" w:rsidRDefault="00AA2B14" w:rsidP="00AA2B14">
      <w:pPr>
        <w:jc w:val="both"/>
        <w:rPr>
          <w:rFonts w:asciiTheme="minorHAnsi" w:hAnsiTheme="minorHAnsi" w:cstheme="minorHAnsi"/>
          <w:sz w:val="22"/>
          <w:szCs w:val="22"/>
        </w:rPr>
      </w:pPr>
    </w:p>
    <w:p w14:paraId="30D04ADF" w14:textId="77777777"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Al riguardo, l’Amministrazione finanziaria risponde che: </w:t>
      </w:r>
    </w:p>
    <w:p w14:paraId="41D520C8" w14:textId="5E09D33B" w:rsidR="00AA2B14" w:rsidRP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t xml:space="preserve">«alla richiesta di rimborso del credito IVA maturato successivamente alla domanda di concordato preventivo è inopponibile la compensazione con i debiti tributari sorti prima della domanda». L’Agenzia delle Entrate deve, quindi, dare seguito alla richiesta di rimborso e non è possibile effettuare la compensazione con i debiti pregressi; </w:t>
      </w:r>
    </w:p>
    <w:p w14:paraId="28577558" w14:textId="2E2E8230" w:rsidR="00AA2B14" w:rsidRP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t>nel caso di specie, a seguito della richiesta di rimborso, non sono applicabili né il cd. "pagamento mediante compensazione volontaria con i crediti d</w:t>
      </w:r>
      <w:r>
        <w:rPr>
          <w:rFonts w:asciiTheme="minorHAnsi" w:hAnsiTheme="minorHAnsi" w:cstheme="minorHAnsi"/>
        </w:rPr>
        <w:t>’</w:t>
      </w:r>
      <w:r w:rsidRPr="00AA2B14">
        <w:rPr>
          <w:rFonts w:asciiTheme="minorHAnsi" w:hAnsiTheme="minorHAnsi" w:cstheme="minorHAnsi"/>
        </w:rPr>
        <w:t xml:space="preserve">imposta" nell’ipotesi di debiti tributari iscritti a ruolo d’importo superiore a 1.500 euro, sorti prima della domanda di concordato, né la compensazione con i debiti derivanti da accertamento oggetto di ricorso ancora pendente; </w:t>
      </w:r>
    </w:p>
    <w:p w14:paraId="3E3D7EE5" w14:textId="4856E986" w:rsidR="00AA2B14" w:rsidRP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t>ai fini del rimborso del medesimo credito IVA, di importo superiore a 30.000 euro, l’istante deve prestare l’idonea garanzia prescritta dall’art.38-bis, co.</w:t>
      </w:r>
      <w:r>
        <w:rPr>
          <w:rFonts w:asciiTheme="minorHAnsi" w:hAnsiTheme="minorHAnsi" w:cstheme="minorHAnsi"/>
        </w:rPr>
        <w:t xml:space="preserve"> </w:t>
      </w:r>
      <w:r w:rsidRPr="00AA2B14">
        <w:rPr>
          <w:rFonts w:asciiTheme="minorHAnsi" w:hAnsiTheme="minorHAnsi" w:cstheme="minorHAnsi"/>
        </w:rPr>
        <w:t xml:space="preserve">4, del D.P.R. 633/1972. </w:t>
      </w:r>
    </w:p>
    <w:p w14:paraId="7CAE5DF1" w14:textId="77777777" w:rsidR="00AA2B14" w:rsidRDefault="00AA2B14" w:rsidP="00AA2B14">
      <w:pPr>
        <w:jc w:val="both"/>
        <w:rPr>
          <w:rFonts w:asciiTheme="minorHAnsi" w:hAnsiTheme="minorHAnsi" w:cstheme="minorHAnsi"/>
          <w:sz w:val="22"/>
          <w:szCs w:val="22"/>
        </w:rPr>
      </w:pPr>
    </w:p>
    <w:p w14:paraId="5839ED6F" w14:textId="2998855D"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In senso analogo, con la </w:t>
      </w:r>
      <w:r w:rsidRPr="00AA2B14">
        <w:rPr>
          <w:rFonts w:asciiTheme="minorHAnsi" w:hAnsiTheme="minorHAnsi" w:cstheme="minorHAnsi"/>
          <w:b/>
          <w:bCs/>
          <w:sz w:val="22"/>
          <w:szCs w:val="22"/>
        </w:rPr>
        <w:t>Risposta n.536/E/2020</w:t>
      </w:r>
      <w:r w:rsidRPr="00AA2B14">
        <w:rPr>
          <w:rFonts w:asciiTheme="minorHAnsi" w:hAnsiTheme="minorHAnsi" w:cstheme="minorHAnsi"/>
          <w:sz w:val="22"/>
          <w:szCs w:val="22"/>
        </w:rPr>
        <w:t xml:space="preserve">, l’Agenzia delle Entrate affronta il caso di un contribuente in concordato preventivo, che eseguendo operazioni in split payment ed essendo in una fisiologica situazione di credito IVA, chiede se sia possibile effettuare la compensazione fra il credito medesimo e i debiti fiscali, nell’ipotesi in cui questi siano sorti entrambi dopo la domanda di concordato. </w:t>
      </w:r>
    </w:p>
    <w:p w14:paraId="6BFD79EA" w14:textId="77777777" w:rsidR="00AA2B14" w:rsidRDefault="00AA2B14" w:rsidP="00AA2B14">
      <w:pPr>
        <w:jc w:val="both"/>
        <w:rPr>
          <w:rFonts w:asciiTheme="minorHAnsi" w:hAnsiTheme="minorHAnsi" w:cstheme="minorHAnsi"/>
          <w:sz w:val="22"/>
          <w:szCs w:val="22"/>
        </w:rPr>
      </w:pPr>
    </w:p>
    <w:p w14:paraId="415697C9" w14:textId="5B411CDF"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 xml:space="preserve">Al riguardo, l’Amministrazione finanziaria risponde positivamente, chiarendo che: </w:t>
      </w:r>
    </w:p>
    <w:p w14:paraId="3209D968" w14:textId="2DF1E099" w:rsidR="00AA2B14" w:rsidRP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t>è ammessa la compensazione del credito IVA, maturato dopo la domanda di concordato preventivo, con debiti fiscali e contributivi, non iscritti a ruolo, sorti anch</w:t>
      </w:r>
      <w:r>
        <w:rPr>
          <w:rFonts w:asciiTheme="minorHAnsi" w:hAnsiTheme="minorHAnsi" w:cstheme="minorHAnsi"/>
        </w:rPr>
        <w:t>’</w:t>
      </w:r>
      <w:r w:rsidRPr="00AA2B14">
        <w:rPr>
          <w:rFonts w:asciiTheme="minorHAnsi" w:hAnsiTheme="minorHAnsi" w:cstheme="minorHAnsi"/>
        </w:rPr>
        <w:t xml:space="preserve">essi successivamente; </w:t>
      </w:r>
    </w:p>
    <w:p w14:paraId="3EE62706" w14:textId="77777777" w:rsidR="00AA2B14" w:rsidRP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t xml:space="preserve">la compensazione del medesimo credito IVA è riconosciuta, altresì, in presenza di debiti tributari pregressi, maturati prima della domanda di concordato, iscritti a ruolo e di ammontare superiore a 1.500 euro; </w:t>
      </w:r>
    </w:p>
    <w:p w14:paraId="1E73EC85" w14:textId="334227CC" w:rsidR="00AA2B14" w:rsidRDefault="00AA2B14" w:rsidP="00AA2B14">
      <w:pPr>
        <w:pStyle w:val="Paragrafoelenco"/>
        <w:numPr>
          <w:ilvl w:val="0"/>
          <w:numId w:val="38"/>
        </w:numPr>
        <w:spacing w:after="0"/>
        <w:jc w:val="both"/>
        <w:rPr>
          <w:rFonts w:asciiTheme="minorHAnsi" w:hAnsiTheme="minorHAnsi" w:cstheme="minorHAnsi"/>
        </w:rPr>
      </w:pPr>
      <w:r w:rsidRPr="00AA2B14">
        <w:rPr>
          <w:rFonts w:asciiTheme="minorHAnsi" w:hAnsiTheme="minorHAnsi" w:cstheme="minorHAnsi"/>
        </w:rPr>
        <w:lastRenderedPageBreak/>
        <w:t xml:space="preserve">invece, in presenza di debiti iscritti a ruolo di importo superiore a 1.500 euro, sorti dopo la presentazione della domanda di concordato, si applica il divieto di compensazione di cui all'art.31 del D.L. 78/2010, fino a concorrenza dell’importo medesimo iscritto a ruolo. </w:t>
      </w:r>
    </w:p>
    <w:p w14:paraId="0BFD8B43" w14:textId="77777777" w:rsidR="00AA2B14" w:rsidRPr="00AA2B14" w:rsidRDefault="00AA2B14" w:rsidP="00AA2B14">
      <w:pPr>
        <w:pStyle w:val="Paragrafoelenco"/>
        <w:numPr>
          <w:ilvl w:val="0"/>
          <w:numId w:val="38"/>
        </w:numPr>
        <w:spacing w:after="0"/>
        <w:jc w:val="both"/>
        <w:rPr>
          <w:rFonts w:asciiTheme="minorHAnsi" w:hAnsiTheme="minorHAnsi" w:cstheme="minorHAnsi"/>
        </w:rPr>
      </w:pPr>
    </w:p>
    <w:p w14:paraId="60456DE6" w14:textId="07F51286" w:rsidR="00AA2B14" w:rsidRPr="00AA2B14" w:rsidRDefault="00AA2B14" w:rsidP="00AA2B14">
      <w:pPr>
        <w:jc w:val="both"/>
        <w:rPr>
          <w:rFonts w:asciiTheme="minorHAnsi" w:hAnsiTheme="minorHAnsi" w:cstheme="minorHAnsi"/>
          <w:sz w:val="22"/>
          <w:szCs w:val="22"/>
        </w:rPr>
      </w:pPr>
      <w:r w:rsidRPr="00AA2B14">
        <w:rPr>
          <w:rFonts w:asciiTheme="minorHAnsi" w:hAnsiTheme="minorHAnsi" w:cstheme="minorHAnsi"/>
          <w:sz w:val="22"/>
          <w:szCs w:val="22"/>
        </w:rPr>
        <w:t>In entrambe le pronunce, l’Agenzia delle Entrate richiama la giurisprudenza pertinente, nonché i propri precedenti chiarimenti in materia di concordato preventivo e compensazione dei crediti d’imposta con i debiti fiscali (cfr. le C.M. 13/E/2011 e la R.M. 279/E/2012).</w:t>
      </w:r>
    </w:p>
    <w:p w14:paraId="291EDE81" w14:textId="30333389" w:rsidR="00994DE8" w:rsidRDefault="00994DE8" w:rsidP="00994DE8">
      <w:pPr>
        <w:rPr>
          <w:rFonts w:ascii="Calibri" w:hAnsi="Calibri" w:cs="Calibri Light"/>
          <w:sz w:val="22"/>
          <w:szCs w:val="22"/>
        </w:rPr>
      </w:pPr>
    </w:p>
    <w:p w14:paraId="374CDEB8" w14:textId="77777777" w:rsidR="0007781D" w:rsidRPr="00747106" w:rsidRDefault="0007781D" w:rsidP="00994DE8">
      <w:pPr>
        <w:rPr>
          <w:rFonts w:ascii="Calibri" w:hAnsi="Calibri" w:cs="Calibri Light"/>
          <w:sz w:val="22"/>
          <w:szCs w:val="22"/>
        </w:rPr>
      </w:pPr>
    </w:p>
    <w:p w14:paraId="7C7AA374" w14:textId="49216A71"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0F4CC6B3" w14:textId="77777777" w:rsidR="00607560" w:rsidRPr="00A82347" w:rsidRDefault="00607560" w:rsidP="00607560">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7957A80D" w14:textId="6D317522" w:rsidR="005F7694" w:rsidRDefault="00607560" w:rsidP="00607560">
      <w:pPr>
        <w:tabs>
          <w:tab w:val="left" w:pos="720"/>
          <w:tab w:val="left" w:pos="900"/>
          <w:tab w:val="left" w:pos="1260"/>
          <w:tab w:val="left" w:pos="5580"/>
          <w:tab w:val="left" w:pos="6120"/>
        </w:tabs>
        <w:ind w:right="-2"/>
        <w:rPr>
          <w:rFonts w:ascii="Calibri" w:hAnsi="Calibri" w:cs="Calibri"/>
          <w:color w:val="0000FF"/>
          <w:sz w:val="22"/>
          <w:szCs w:val="22"/>
          <w:u w:val="single"/>
        </w:rPr>
      </w:pPr>
      <w:r w:rsidRPr="00DD7F58">
        <w:rPr>
          <w:rFonts w:ascii="Calibri" w:hAnsi="Calibri" w:cs="Calibri"/>
          <w:sz w:val="22"/>
          <w:szCs w:val="22"/>
        </w:rPr>
        <w:t xml:space="preserve">Email: </w:t>
      </w:r>
      <w:hyperlink r:id="rId9" w:history="1">
        <w:r w:rsidRPr="00DD7F58">
          <w:rPr>
            <w:rFonts w:ascii="Calibri" w:hAnsi="Calibri" w:cs="Calibri"/>
            <w:color w:val="0000FF"/>
            <w:sz w:val="22"/>
            <w:szCs w:val="22"/>
            <w:u w:val="single"/>
          </w:rPr>
          <w:t>vignaroli@confindustria.umbria.it</w:t>
        </w:r>
      </w:hyperlink>
    </w:p>
    <w:p w14:paraId="2AA00C94" w14:textId="77777777" w:rsidR="00FF6C94" w:rsidRDefault="00FF6C94" w:rsidP="00FF6C94">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590F53F2" w14:textId="77777777" w:rsidR="00FF6C94" w:rsidRDefault="00FF6C94" w:rsidP="00FF6C94">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w:t>
      </w:r>
      <w:r>
        <w:rPr>
          <w:rFonts w:ascii="Calibri" w:hAnsi="Calibri" w:cs="Calibri"/>
          <w:sz w:val="22"/>
          <w:szCs w:val="22"/>
        </w:rPr>
        <w:t xml:space="preserve"> </w:t>
      </w:r>
    </w:p>
    <w:p w14:paraId="3C143E03" w14:textId="77777777" w:rsidR="00FF6C94" w:rsidRDefault="00652A50" w:rsidP="00FF6C94">
      <w:pPr>
        <w:tabs>
          <w:tab w:val="left" w:pos="720"/>
          <w:tab w:val="left" w:pos="900"/>
          <w:tab w:val="left" w:pos="1260"/>
          <w:tab w:val="left" w:pos="5580"/>
          <w:tab w:val="left" w:pos="6120"/>
        </w:tabs>
        <w:ind w:right="-2"/>
        <w:rPr>
          <w:rStyle w:val="Collegamentoipertestuale"/>
          <w:rFonts w:ascii="Calibri" w:hAnsi="Calibri" w:cs="Calibri"/>
          <w:sz w:val="22"/>
          <w:szCs w:val="22"/>
        </w:rPr>
      </w:pPr>
      <w:hyperlink r:id="rId10" w:history="1">
        <w:r w:rsidR="00FF6C94" w:rsidRPr="003E1541">
          <w:rPr>
            <w:rStyle w:val="Collegamentoipertestuale"/>
            <w:rFonts w:ascii="Calibri" w:hAnsi="Calibri" w:cs="Calibri"/>
            <w:sz w:val="22"/>
            <w:szCs w:val="22"/>
          </w:rPr>
          <w:t>roscini@confindustria.umbria.it</w:t>
        </w:r>
      </w:hyperlink>
    </w:p>
    <w:p w14:paraId="1D679A88" w14:textId="77777777" w:rsidR="00FF6C94" w:rsidRPr="00DD7F58" w:rsidRDefault="00FF6C94" w:rsidP="00607560">
      <w:pPr>
        <w:tabs>
          <w:tab w:val="left" w:pos="720"/>
          <w:tab w:val="left" w:pos="900"/>
          <w:tab w:val="left" w:pos="1260"/>
          <w:tab w:val="left" w:pos="5580"/>
          <w:tab w:val="left" w:pos="6120"/>
        </w:tabs>
        <w:ind w:right="-2"/>
        <w:rPr>
          <w:rFonts w:ascii="Calibri" w:hAnsi="Calibri" w:cs="Calibri"/>
          <w:color w:val="0000FF"/>
          <w:sz w:val="22"/>
          <w:szCs w:val="22"/>
          <w:u w:val="single"/>
        </w:rPr>
      </w:pPr>
    </w:p>
    <w:p w14:paraId="794732FC" w14:textId="77777777" w:rsidR="005F7694" w:rsidRPr="00DD7F58" w:rsidRDefault="005F7694" w:rsidP="00607560">
      <w:pPr>
        <w:tabs>
          <w:tab w:val="left" w:pos="720"/>
          <w:tab w:val="left" w:pos="900"/>
          <w:tab w:val="left" w:pos="1260"/>
          <w:tab w:val="left" w:pos="5580"/>
          <w:tab w:val="left" w:pos="6120"/>
        </w:tabs>
        <w:ind w:right="-2"/>
        <w:rPr>
          <w:rFonts w:ascii="Calibri" w:hAnsi="Calibri" w:cs="Calibri"/>
          <w:color w:val="0000FF"/>
          <w:sz w:val="22"/>
          <w:szCs w:val="22"/>
          <w:u w:val="single"/>
        </w:rPr>
      </w:pPr>
    </w:p>
    <w:p w14:paraId="3D8E928D" w14:textId="757BFA03" w:rsidR="00607560" w:rsidRPr="00777439" w:rsidRDefault="00607560" w:rsidP="00607560">
      <w:pPr>
        <w:tabs>
          <w:tab w:val="left" w:pos="720"/>
          <w:tab w:val="left" w:pos="900"/>
          <w:tab w:val="left" w:pos="1260"/>
          <w:tab w:val="left" w:pos="5580"/>
          <w:tab w:val="left" w:pos="6120"/>
        </w:tabs>
        <w:ind w:right="-2"/>
        <w:jc w:val="right"/>
        <w:rPr>
          <w:rFonts w:ascii="Calibri" w:hAnsi="Calibri" w:cs="Calibri"/>
          <w:sz w:val="22"/>
          <w:szCs w:val="22"/>
        </w:rPr>
      </w:pPr>
      <w:r>
        <w:rPr>
          <w:rFonts w:ascii="Calibri" w:hAnsi="Calibri" w:cs="Calibri"/>
          <w:sz w:val="22"/>
          <w:szCs w:val="22"/>
        </w:rPr>
        <w:t xml:space="preserve">Pubblicata il </w:t>
      </w:r>
      <w:r w:rsidR="005F7694">
        <w:rPr>
          <w:rFonts w:ascii="Calibri" w:hAnsi="Calibri" w:cs="Calibri"/>
          <w:sz w:val="22"/>
          <w:szCs w:val="22"/>
        </w:rPr>
        <w:t>1</w:t>
      </w:r>
      <w:r w:rsidR="0007781D">
        <w:rPr>
          <w:rFonts w:ascii="Calibri" w:hAnsi="Calibri" w:cs="Calibri"/>
          <w:sz w:val="22"/>
          <w:szCs w:val="22"/>
        </w:rPr>
        <w:t>3</w:t>
      </w:r>
      <w:r>
        <w:rPr>
          <w:rFonts w:ascii="Calibri" w:hAnsi="Calibri" w:cs="Calibri"/>
          <w:sz w:val="22"/>
          <w:szCs w:val="22"/>
        </w:rPr>
        <w:t>/11/2020</w:t>
      </w:r>
    </w:p>
    <w:sectPr w:rsidR="00607560" w:rsidRPr="00777439" w:rsidSect="004E62C8">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1B8A7" w14:textId="77777777" w:rsidR="00652A50" w:rsidRDefault="00652A50">
      <w:r>
        <w:separator/>
      </w:r>
    </w:p>
  </w:endnote>
  <w:endnote w:type="continuationSeparator" w:id="0">
    <w:p w14:paraId="2813C9A1" w14:textId="77777777" w:rsidR="00652A50" w:rsidRDefault="0065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9AD9A" w14:textId="77777777" w:rsidR="00652A50" w:rsidRDefault="00652A50">
      <w:r>
        <w:separator/>
      </w:r>
    </w:p>
  </w:footnote>
  <w:footnote w:type="continuationSeparator" w:id="0">
    <w:p w14:paraId="4EE9C18E" w14:textId="77777777" w:rsidR="00652A50" w:rsidRDefault="0065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00592B2B" w:rsidR="001867E9" w:rsidRDefault="00217122">
          <w:pPr>
            <w:tabs>
              <w:tab w:val="left" w:pos="720"/>
              <w:tab w:val="left" w:pos="900"/>
              <w:tab w:val="left" w:pos="1260"/>
              <w:tab w:val="left" w:pos="1980"/>
            </w:tabs>
          </w:pPr>
          <w:r>
            <w:rPr>
              <w:noProof/>
              <w:color w:val="205394"/>
            </w:rPr>
            <w:drawing>
              <wp:inline distT="0" distB="0" distL="0" distR="0" wp14:anchorId="6656F282" wp14:editId="5D577CBC">
                <wp:extent cx="523875" cy="495300"/>
                <wp:effectExtent l="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71639C"/>
    <w:multiLevelType w:val="hybridMultilevel"/>
    <w:tmpl w:val="BDC84032"/>
    <w:lvl w:ilvl="0" w:tplc="FDE25E4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02679E"/>
    <w:multiLevelType w:val="multilevel"/>
    <w:tmpl w:val="C3E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D15336"/>
    <w:multiLevelType w:val="hybridMultilevel"/>
    <w:tmpl w:val="0414EF98"/>
    <w:lvl w:ilvl="0" w:tplc="030A03F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E5678"/>
    <w:multiLevelType w:val="multilevel"/>
    <w:tmpl w:val="F63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913009"/>
    <w:multiLevelType w:val="multilevel"/>
    <w:tmpl w:val="1B4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631D"/>
    <w:multiLevelType w:val="multilevel"/>
    <w:tmpl w:val="294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120040"/>
    <w:multiLevelType w:val="multilevel"/>
    <w:tmpl w:val="A00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7" w15:restartNumberingAfterBreak="0">
    <w:nsid w:val="7C7B4118"/>
    <w:multiLevelType w:val="multilevel"/>
    <w:tmpl w:val="E6F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3"/>
  </w:num>
  <w:num w:numId="4">
    <w:abstractNumId w:val="13"/>
  </w:num>
  <w:num w:numId="5">
    <w:abstractNumId w:val="2"/>
  </w:num>
  <w:num w:numId="6">
    <w:abstractNumId w:val="14"/>
  </w:num>
  <w:num w:numId="7">
    <w:abstractNumId w:val="17"/>
  </w:num>
  <w:num w:numId="8">
    <w:abstractNumId w:val="28"/>
  </w:num>
  <w:num w:numId="9">
    <w:abstractNumId w:val="35"/>
  </w:num>
  <w:num w:numId="10">
    <w:abstractNumId w:val="27"/>
  </w:num>
  <w:num w:numId="11">
    <w:abstractNumId w:val="15"/>
  </w:num>
  <w:num w:numId="12">
    <w:abstractNumId w:val="24"/>
  </w:num>
  <w:num w:numId="13">
    <w:abstractNumId w:val="5"/>
  </w:num>
  <w:num w:numId="14">
    <w:abstractNumId w:val="12"/>
  </w:num>
  <w:num w:numId="15">
    <w:abstractNumId w:val="0"/>
  </w:num>
  <w:num w:numId="16">
    <w:abstractNumId w:val="3"/>
  </w:num>
  <w:num w:numId="17">
    <w:abstractNumId w:val="20"/>
  </w:num>
  <w:num w:numId="18">
    <w:abstractNumId w:val="1"/>
  </w:num>
  <w:num w:numId="19">
    <w:abstractNumId w:val="29"/>
  </w:num>
  <w:num w:numId="20">
    <w:abstractNumId w:val="21"/>
  </w:num>
  <w:num w:numId="21">
    <w:abstractNumId w:val="8"/>
  </w:num>
  <w:num w:numId="22">
    <w:abstractNumId w:val="34"/>
  </w:num>
  <w:num w:numId="23">
    <w:abstractNumId w:val="16"/>
  </w:num>
  <w:num w:numId="24">
    <w:abstractNumId w:val="9"/>
  </w:num>
  <w:num w:numId="25">
    <w:abstractNumId w:val="4"/>
  </w:num>
  <w:num w:numId="26">
    <w:abstractNumId w:val="6"/>
  </w:num>
  <w:num w:numId="27">
    <w:abstractNumId w:val="32"/>
  </w:num>
  <w:num w:numId="28">
    <w:abstractNumId w:val="26"/>
  </w:num>
  <w:num w:numId="29">
    <w:abstractNumId w:val="10"/>
  </w:num>
  <w:num w:numId="30">
    <w:abstractNumId w:val="36"/>
  </w:num>
  <w:num w:numId="31">
    <w:abstractNumId w:val="31"/>
  </w:num>
  <w:num w:numId="32">
    <w:abstractNumId w:val="33"/>
  </w:num>
  <w:num w:numId="33">
    <w:abstractNumId w:val="11"/>
  </w:num>
  <w:num w:numId="34">
    <w:abstractNumId w:val="37"/>
  </w:num>
  <w:num w:numId="35">
    <w:abstractNumId w:val="25"/>
  </w:num>
  <w:num w:numId="36">
    <w:abstractNumId w:val="7"/>
  </w:num>
  <w:num w:numId="37">
    <w:abstractNumId w:val="30"/>
  </w:num>
  <w:num w:numId="3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70AC4"/>
    <w:rsid w:val="0007781D"/>
    <w:rsid w:val="00080ADD"/>
    <w:rsid w:val="00084DD6"/>
    <w:rsid w:val="00086200"/>
    <w:rsid w:val="00087150"/>
    <w:rsid w:val="00090452"/>
    <w:rsid w:val="0009085F"/>
    <w:rsid w:val="00091677"/>
    <w:rsid w:val="00094BA5"/>
    <w:rsid w:val="000A323E"/>
    <w:rsid w:val="000A39AE"/>
    <w:rsid w:val="000B06C6"/>
    <w:rsid w:val="000B2103"/>
    <w:rsid w:val="000B75FE"/>
    <w:rsid w:val="000C53BB"/>
    <w:rsid w:val="000D0123"/>
    <w:rsid w:val="000D36C6"/>
    <w:rsid w:val="000D4668"/>
    <w:rsid w:val="000D4ADA"/>
    <w:rsid w:val="000E38C9"/>
    <w:rsid w:val="000E5391"/>
    <w:rsid w:val="000E6DB1"/>
    <w:rsid w:val="00100C48"/>
    <w:rsid w:val="0010566D"/>
    <w:rsid w:val="00126D4F"/>
    <w:rsid w:val="001311CA"/>
    <w:rsid w:val="00134010"/>
    <w:rsid w:val="00136808"/>
    <w:rsid w:val="00151037"/>
    <w:rsid w:val="00151B1D"/>
    <w:rsid w:val="00151BDD"/>
    <w:rsid w:val="00160F19"/>
    <w:rsid w:val="001674E2"/>
    <w:rsid w:val="00172666"/>
    <w:rsid w:val="00181F9E"/>
    <w:rsid w:val="001867E9"/>
    <w:rsid w:val="001A0DF3"/>
    <w:rsid w:val="001A0EA6"/>
    <w:rsid w:val="001A46F2"/>
    <w:rsid w:val="001A61DB"/>
    <w:rsid w:val="001A7AC8"/>
    <w:rsid w:val="001B0373"/>
    <w:rsid w:val="001B1366"/>
    <w:rsid w:val="001B18E7"/>
    <w:rsid w:val="001C016B"/>
    <w:rsid w:val="001C5C73"/>
    <w:rsid w:val="001D46AD"/>
    <w:rsid w:val="001D783D"/>
    <w:rsid w:val="001D7F3D"/>
    <w:rsid w:val="001E0909"/>
    <w:rsid w:val="001E1A02"/>
    <w:rsid w:val="001E2743"/>
    <w:rsid w:val="001E720B"/>
    <w:rsid w:val="001F202A"/>
    <w:rsid w:val="001F3465"/>
    <w:rsid w:val="001F48AB"/>
    <w:rsid w:val="0020292B"/>
    <w:rsid w:val="00206722"/>
    <w:rsid w:val="00210ED4"/>
    <w:rsid w:val="002113BA"/>
    <w:rsid w:val="002166C4"/>
    <w:rsid w:val="00216BD5"/>
    <w:rsid w:val="00217122"/>
    <w:rsid w:val="002216DD"/>
    <w:rsid w:val="0022540F"/>
    <w:rsid w:val="0022733A"/>
    <w:rsid w:val="00230989"/>
    <w:rsid w:val="002360B0"/>
    <w:rsid w:val="002375D8"/>
    <w:rsid w:val="00237B46"/>
    <w:rsid w:val="00242295"/>
    <w:rsid w:val="00254095"/>
    <w:rsid w:val="00256B55"/>
    <w:rsid w:val="00262647"/>
    <w:rsid w:val="002650B4"/>
    <w:rsid w:val="002655A5"/>
    <w:rsid w:val="00265FD1"/>
    <w:rsid w:val="00267F8E"/>
    <w:rsid w:val="00270D53"/>
    <w:rsid w:val="0027190F"/>
    <w:rsid w:val="00271FB0"/>
    <w:rsid w:val="0027421E"/>
    <w:rsid w:val="002743DA"/>
    <w:rsid w:val="002905C3"/>
    <w:rsid w:val="00293463"/>
    <w:rsid w:val="00297DF6"/>
    <w:rsid w:val="00297F87"/>
    <w:rsid w:val="002A6DFD"/>
    <w:rsid w:val="002B7EEB"/>
    <w:rsid w:val="002C5D60"/>
    <w:rsid w:val="002C6686"/>
    <w:rsid w:val="002D246E"/>
    <w:rsid w:val="002D2B28"/>
    <w:rsid w:val="002E1076"/>
    <w:rsid w:val="002E4047"/>
    <w:rsid w:val="002E6758"/>
    <w:rsid w:val="002F3DAC"/>
    <w:rsid w:val="00300CDB"/>
    <w:rsid w:val="00306EA7"/>
    <w:rsid w:val="003114C4"/>
    <w:rsid w:val="00322729"/>
    <w:rsid w:val="00322EE8"/>
    <w:rsid w:val="00326815"/>
    <w:rsid w:val="003347DC"/>
    <w:rsid w:val="003360E9"/>
    <w:rsid w:val="00341C6E"/>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5874"/>
    <w:rsid w:val="00402B4B"/>
    <w:rsid w:val="0041047E"/>
    <w:rsid w:val="0041177C"/>
    <w:rsid w:val="0042052A"/>
    <w:rsid w:val="0042117E"/>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4121"/>
    <w:rsid w:val="00517FCD"/>
    <w:rsid w:val="00520F32"/>
    <w:rsid w:val="00523A70"/>
    <w:rsid w:val="0053112D"/>
    <w:rsid w:val="00531CA4"/>
    <w:rsid w:val="00532215"/>
    <w:rsid w:val="00532542"/>
    <w:rsid w:val="00546306"/>
    <w:rsid w:val="00552D0E"/>
    <w:rsid w:val="005615FE"/>
    <w:rsid w:val="0056368C"/>
    <w:rsid w:val="00565BA4"/>
    <w:rsid w:val="00570DF9"/>
    <w:rsid w:val="00571AA5"/>
    <w:rsid w:val="00580D22"/>
    <w:rsid w:val="005952A0"/>
    <w:rsid w:val="005A2FBD"/>
    <w:rsid w:val="005A6420"/>
    <w:rsid w:val="005A68AC"/>
    <w:rsid w:val="005B68CD"/>
    <w:rsid w:val="005B7323"/>
    <w:rsid w:val="005C488C"/>
    <w:rsid w:val="005D2783"/>
    <w:rsid w:val="005D3F4A"/>
    <w:rsid w:val="005D47EB"/>
    <w:rsid w:val="005D58C7"/>
    <w:rsid w:val="005E05F4"/>
    <w:rsid w:val="005E29D1"/>
    <w:rsid w:val="005E2A6A"/>
    <w:rsid w:val="005E5E6F"/>
    <w:rsid w:val="005E694F"/>
    <w:rsid w:val="005F136F"/>
    <w:rsid w:val="005F7694"/>
    <w:rsid w:val="00600B26"/>
    <w:rsid w:val="00606C5A"/>
    <w:rsid w:val="00607560"/>
    <w:rsid w:val="0061424A"/>
    <w:rsid w:val="00617528"/>
    <w:rsid w:val="0062196B"/>
    <w:rsid w:val="00633A04"/>
    <w:rsid w:val="00635558"/>
    <w:rsid w:val="006370DF"/>
    <w:rsid w:val="006411A6"/>
    <w:rsid w:val="006411DF"/>
    <w:rsid w:val="00642F4B"/>
    <w:rsid w:val="00652A50"/>
    <w:rsid w:val="00654840"/>
    <w:rsid w:val="00662EE8"/>
    <w:rsid w:val="00673C44"/>
    <w:rsid w:val="00684F34"/>
    <w:rsid w:val="00686CD4"/>
    <w:rsid w:val="00691CF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574"/>
    <w:rsid w:val="007006D5"/>
    <w:rsid w:val="00706997"/>
    <w:rsid w:val="00710780"/>
    <w:rsid w:val="007120A3"/>
    <w:rsid w:val="007212D6"/>
    <w:rsid w:val="00721719"/>
    <w:rsid w:val="007222B7"/>
    <w:rsid w:val="007248A8"/>
    <w:rsid w:val="00724906"/>
    <w:rsid w:val="00724EE9"/>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0AC1"/>
    <w:rsid w:val="007911A1"/>
    <w:rsid w:val="00792D99"/>
    <w:rsid w:val="00793849"/>
    <w:rsid w:val="00796CE5"/>
    <w:rsid w:val="007A106A"/>
    <w:rsid w:val="007A4BC4"/>
    <w:rsid w:val="007A51C9"/>
    <w:rsid w:val="007B0324"/>
    <w:rsid w:val="007B0D7B"/>
    <w:rsid w:val="007B28C2"/>
    <w:rsid w:val="007B4F16"/>
    <w:rsid w:val="007B53F9"/>
    <w:rsid w:val="007B72D4"/>
    <w:rsid w:val="007B7550"/>
    <w:rsid w:val="007C0D05"/>
    <w:rsid w:val="007C1279"/>
    <w:rsid w:val="007D0756"/>
    <w:rsid w:val="007D102D"/>
    <w:rsid w:val="007D346E"/>
    <w:rsid w:val="007D4E2B"/>
    <w:rsid w:val="007E02A8"/>
    <w:rsid w:val="007E1CB1"/>
    <w:rsid w:val="007E52F6"/>
    <w:rsid w:val="007E7A85"/>
    <w:rsid w:val="007F1200"/>
    <w:rsid w:val="007F7D2A"/>
    <w:rsid w:val="008009D5"/>
    <w:rsid w:val="00801AE3"/>
    <w:rsid w:val="0080382C"/>
    <w:rsid w:val="008050CE"/>
    <w:rsid w:val="008072F0"/>
    <w:rsid w:val="00812C76"/>
    <w:rsid w:val="00814B6A"/>
    <w:rsid w:val="0082055D"/>
    <w:rsid w:val="00827AA4"/>
    <w:rsid w:val="0083206A"/>
    <w:rsid w:val="008324D4"/>
    <w:rsid w:val="00842CAC"/>
    <w:rsid w:val="00846546"/>
    <w:rsid w:val="008578EA"/>
    <w:rsid w:val="0087349A"/>
    <w:rsid w:val="00892030"/>
    <w:rsid w:val="0089242A"/>
    <w:rsid w:val="00895D5A"/>
    <w:rsid w:val="008A68D2"/>
    <w:rsid w:val="008B5620"/>
    <w:rsid w:val="008C1727"/>
    <w:rsid w:val="008C21F3"/>
    <w:rsid w:val="008C6FB9"/>
    <w:rsid w:val="008D047B"/>
    <w:rsid w:val="008E4D83"/>
    <w:rsid w:val="008F3065"/>
    <w:rsid w:val="008F6CB9"/>
    <w:rsid w:val="008F7F38"/>
    <w:rsid w:val="00903E0F"/>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3F24"/>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1AF0"/>
    <w:rsid w:val="00A02167"/>
    <w:rsid w:val="00A029CB"/>
    <w:rsid w:val="00A029FA"/>
    <w:rsid w:val="00A100C9"/>
    <w:rsid w:val="00A108C5"/>
    <w:rsid w:val="00A12007"/>
    <w:rsid w:val="00A2160D"/>
    <w:rsid w:val="00A238E8"/>
    <w:rsid w:val="00A24ACC"/>
    <w:rsid w:val="00A27F82"/>
    <w:rsid w:val="00A33104"/>
    <w:rsid w:val="00A35E9C"/>
    <w:rsid w:val="00A36CED"/>
    <w:rsid w:val="00A421FD"/>
    <w:rsid w:val="00A554C8"/>
    <w:rsid w:val="00A5706E"/>
    <w:rsid w:val="00A60F3E"/>
    <w:rsid w:val="00A65A7B"/>
    <w:rsid w:val="00A66073"/>
    <w:rsid w:val="00A66B46"/>
    <w:rsid w:val="00A72245"/>
    <w:rsid w:val="00A7325D"/>
    <w:rsid w:val="00A874BE"/>
    <w:rsid w:val="00A87B48"/>
    <w:rsid w:val="00A92403"/>
    <w:rsid w:val="00A93510"/>
    <w:rsid w:val="00AA2B14"/>
    <w:rsid w:val="00AA3206"/>
    <w:rsid w:val="00AA755B"/>
    <w:rsid w:val="00AA7A03"/>
    <w:rsid w:val="00AB5961"/>
    <w:rsid w:val="00AC09F6"/>
    <w:rsid w:val="00AC0DA4"/>
    <w:rsid w:val="00AC1A58"/>
    <w:rsid w:val="00AC3614"/>
    <w:rsid w:val="00AC363E"/>
    <w:rsid w:val="00AD53C0"/>
    <w:rsid w:val="00AD6736"/>
    <w:rsid w:val="00AE3B49"/>
    <w:rsid w:val="00AE4116"/>
    <w:rsid w:val="00AE4612"/>
    <w:rsid w:val="00AE484B"/>
    <w:rsid w:val="00AE7C4C"/>
    <w:rsid w:val="00AF1207"/>
    <w:rsid w:val="00AF303A"/>
    <w:rsid w:val="00AF4404"/>
    <w:rsid w:val="00AF4D79"/>
    <w:rsid w:val="00AF6300"/>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9BF"/>
    <w:rsid w:val="00BA6BD6"/>
    <w:rsid w:val="00BA7B76"/>
    <w:rsid w:val="00BB7D4D"/>
    <w:rsid w:val="00BB7D99"/>
    <w:rsid w:val="00BC0691"/>
    <w:rsid w:val="00BC32D4"/>
    <w:rsid w:val="00BC4801"/>
    <w:rsid w:val="00BC5242"/>
    <w:rsid w:val="00BD0AB9"/>
    <w:rsid w:val="00BD3C2C"/>
    <w:rsid w:val="00BD60DB"/>
    <w:rsid w:val="00BE3C2A"/>
    <w:rsid w:val="00C00272"/>
    <w:rsid w:val="00C10A7A"/>
    <w:rsid w:val="00C13B4C"/>
    <w:rsid w:val="00C16F4F"/>
    <w:rsid w:val="00C24A9A"/>
    <w:rsid w:val="00C273EA"/>
    <w:rsid w:val="00C27714"/>
    <w:rsid w:val="00C3700B"/>
    <w:rsid w:val="00C433AC"/>
    <w:rsid w:val="00C46AA6"/>
    <w:rsid w:val="00C5003A"/>
    <w:rsid w:val="00C52060"/>
    <w:rsid w:val="00C6046C"/>
    <w:rsid w:val="00C60925"/>
    <w:rsid w:val="00C61BFC"/>
    <w:rsid w:val="00C6483F"/>
    <w:rsid w:val="00C7079A"/>
    <w:rsid w:val="00C82C7A"/>
    <w:rsid w:val="00C923CB"/>
    <w:rsid w:val="00C92C40"/>
    <w:rsid w:val="00C93D89"/>
    <w:rsid w:val="00C96C69"/>
    <w:rsid w:val="00CA1FD0"/>
    <w:rsid w:val="00CA32BA"/>
    <w:rsid w:val="00CA5FB4"/>
    <w:rsid w:val="00CA677D"/>
    <w:rsid w:val="00CB0B8E"/>
    <w:rsid w:val="00CB1898"/>
    <w:rsid w:val="00CB302D"/>
    <w:rsid w:val="00CB383D"/>
    <w:rsid w:val="00CC42BA"/>
    <w:rsid w:val="00CC5C44"/>
    <w:rsid w:val="00CD2F0A"/>
    <w:rsid w:val="00CD4A8E"/>
    <w:rsid w:val="00CF2B9F"/>
    <w:rsid w:val="00D05B8F"/>
    <w:rsid w:val="00D06063"/>
    <w:rsid w:val="00D102CD"/>
    <w:rsid w:val="00D12686"/>
    <w:rsid w:val="00D12E1E"/>
    <w:rsid w:val="00D13CAB"/>
    <w:rsid w:val="00D2250C"/>
    <w:rsid w:val="00D24A1C"/>
    <w:rsid w:val="00D25CF8"/>
    <w:rsid w:val="00D26E11"/>
    <w:rsid w:val="00D27A1C"/>
    <w:rsid w:val="00D30E39"/>
    <w:rsid w:val="00D327D9"/>
    <w:rsid w:val="00D32FC7"/>
    <w:rsid w:val="00D35077"/>
    <w:rsid w:val="00D403FB"/>
    <w:rsid w:val="00D44D11"/>
    <w:rsid w:val="00D46D8F"/>
    <w:rsid w:val="00D50F2A"/>
    <w:rsid w:val="00D54D0D"/>
    <w:rsid w:val="00D551CF"/>
    <w:rsid w:val="00D66BBB"/>
    <w:rsid w:val="00D70745"/>
    <w:rsid w:val="00D70DAE"/>
    <w:rsid w:val="00D71FF5"/>
    <w:rsid w:val="00D74092"/>
    <w:rsid w:val="00D77E54"/>
    <w:rsid w:val="00DA26BC"/>
    <w:rsid w:val="00DA4273"/>
    <w:rsid w:val="00DA5995"/>
    <w:rsid w:val="00DB3985"/>
    <w:rsid w:val="00DB4953"/>
    <w:rsid w:val="00DC0ED4"/>
    <w:rsid w:val="00DC7F97"/>
    <w:rsid w:val="00DD019F"/>
    <w:rsid w:val="00DD7F58"/>
    <w:rsid w:val="00DE3413"/>
    <w:rsid w:val="00DE72E8"/>
    <w:rsid w:val="00DF5163"/>
    <w:rsid w:val="00DF7579"/>
    <w:rsid w:val="00E00F2C"/>
    <w:rsid w:val="00E07BDC"/>
    <w:rsid w:val="00E15415"/>
    <w:rsid w:val="00E20570"/>
    <w:rsid w:val="00E209CB"/>
    <w:rsid w:val="00E25D34"/>
    <w:rsid w:val="00E273B4"/>
    <w:rsid w:val="00E31E8B"/>
    <w:rsid w:val="00E36D39"/>
    <w:rsid w:val="00E44B8E"/>
    <w:rsid w:val="00E47D5B"/>
    <w:rsid w:val="00E5260E"/>
    <w:rsid w:val="00E56C4C"/>
    <w:rsid w:val="00E56D79"/>
    <w:rsid w:val="00E71549"/>
    <w:rsid w:val="00E71CEB"/>
    <w:rsid w:val="00E74979"/>
    <w:rsid w:val="00E8356D"/>
    <w:rsid w:val="00E906B5"/>
    <w:rsid w:val="00E909DF"/>
    <w:rsid w:val="00EA4465"/>
    <w:rsid w:val="00EA4897"/>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3F20"/>
    <w:rsid w:val="00F0608B"/>
    <w:rsid w:val="00F0673C"/>
    <w:rsid w:val="00F120FE"/>
    <w:rsid w:val="00F15475"/>
    <w:rsid w:val="00F169DE"/>
    <w:rsid w:val="00F2219B"/>
    <w:rsid w:val="00F23D65"/>
    <w:rsid w:val="00F31A89"/>
    <w:rsid w:val="00F32A75"/>
    <w:rsid w:val="00F33005"/>
    <w:rsid w:val="00F34EA1"/>
    <w:rsid w:val="00F4051C"/>
    <w:rsid w:val="00F4172D"/>
    <w:rsid w:val="00F4663F"/>
    <w:rsid w:val="00F51DA0"/>
    <w:rsid w:val="00F52699"/>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D125E"/>
    <w:rsid w:val="00FD401E"/>
    <w:rsid w:val="00FD4772"/>
    <w:rsid w:val="00FD6478"/>
    <w:rsid w:val="00FD789D"/>
    <w:rsid w:val="00FE3CA4"/>
    <w:rsid w:val="00FE5704"/>
    <w:rsid w:val="00FF0866"/>
    <w:rsid w:val="00FF6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3">
    <w:name w:val="heading 3"/>
    <w:basedOn w:val="Normale"/>
    <w:link w:val="Titolo3Carattere"/>
    <w:uiPriority w:val="9"/>
    <w:qFormat/>
    <w:rsid w:val="00F03F2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 w:type="character" w:customStyle="1" w:styleId="Titolo3Carattere">
    <w:name w:val="Titolo 3 Carattere"/>
    <w:basedOn w:val="Carpredefinitoparagrafo"/>
    <w:link w:val="Titolo3"/>
    <w:uiPriority w:val="9"/>
    <w:rsid w:val="00F03F2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39698734">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23551813">
      <w:bodyDiv w:val="1"/>
      <w:marLeft w:val="0"/>
      <w:marRight w:val="0"/>
      <w:marTop w:val="0"/>
      <w:marBottom w:val="0"/>
      <w:divBdr>
        <w:top w:val="none" w:sz="0" w:space="0" w:color="auto"/>
        <w:left w:val="none" w:sz="0" w:space="0" w:color="auto"/>
        <w:bottom w:val="none" w:sz="0" w:space="0" w:color="auto"/>
        <w:right w:val="none" w:sz="0" w:space="0" w:color="auto"/>
      </w:divBdr>
    </w:div>
    <w:div w:id="892228038">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28740564">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30450388">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72083183">
      <w:bodyDiv w:val="1"/>
      <w:marLeft w:val="0"/>
      <w:marRight w:val="0"/>
      <w:marTop w:val="0"/>
      <w:marBottom w:val="0"/>
      <w:divBdr>
        <w:top w:val="none" w:sz="0" w:space="0" w:color="auto"/>
        <w:left w:val="none" w:sz="0" w:space="0" w:color="auto"/>
        <w:bottom w:val="none" w:sz="0" w:space="0" w:color="auto"/>
        <w:right w:val="none" w:sz="0" w:space="0" w:color="auto"/>
      </w:divBdr>
    </w:div>
    <w:div w:id="1578856004">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855262631">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60407054">
      <w:bodyDiv w:val="1"/>
      <w:marLeft w:val="0"/>
      <w:marRight w:val="0"/>
      <w:marTop w:val="0"/>
      <w:marBottom w:val="0"/>
      <w:divBdr>
        <w:top w:val="none" w:sz="0" w:space="0" w:color="auto"/>
        <w:left w:val="none" w:sz="0" w:space="0" w:color="auto"/>
        <w:bottom w:val="none" w:sz="0" w:space="0" w:color="auto"/>
        <w:right w:val="none" w:sz="0" w:space="0" w:color="auto"/>
      </w:divBdr>
    </w:div>
    <w:div w:id="1974557393">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documents/20143/2794483/Risposta+n.+536+del+6+novembre+2020.pdf/547f3679-e45b-545a-865b-4693574ac0f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ziaentrate.gov.it/portale/documents/20143/2794483/Risposta+n.+535+del+6+novembre+2020.pdf/c6f66b1b-e83e-a805-4998-6b277ac365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cini@confindustria.umbria.it" TargetMode="External"/><Relationship Id="rId4" Type="http://schemas.openxmlformats.org/officeDocument/2006/relationships/webSettings" Target="webSettings.xml"/><Relationship Id="rId9" Type="http://schemas.openxmlformats.org/officeDocument/2006/relationships/hyperlink" Target="mailto:vignarol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454</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4316</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22</cp:revision>
  <cp:lastPrinted>2019-02-27T17:41:00Z</cp:lastPrinted>
  <dcterms:created xsi:type="dcterms:W3CDTF">2020-10-30T09:38:00Z</dcterms:created>
  <dcterms:modified xsi:type="dcterms:W3CDTF">2020-11-13T16:55:00Z</dcterms:modified>
</cp:coreProperties>
</file>