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03CA" w14:textId="0F64A226" w:rsidR="008F6CB9" w:rsidRDefault="00217122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  <w:r w:rsidRPr="005D47EB"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903AB" wp14:editId="053BF6A3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20"/>
                <wp:effectExtent l="0" t="0" r="0" b="0"/>
                <wp:wrapNone/>
                <wp:docPr id="5" name="Segno di sott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45720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12E8" id="Segno di sottrazione 5" o:spid="_x0000_s1026" style="position:absolute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" path="m1008768,17483r5592939,l6601707,28237r-5592939,l1008768,17483xe" fillcolor="#205394" strokecolor="#385d8a" strokeweight="1pt">
                <v:path arrowok="t" o:connecttype="custom" o:connectlocs="1008768,17483;6601707,17483;6601707,28237;1008768,28237;1008768,17483" o:connectangles="0,0,0,0,0"/>
              </v:shape>
            </w:pict>
          </mc:Fallback>
        </mc:AlternateContent>
      </w:r>
      <w:r w:rsidR="00607560" w:rsidRPr="005D47EB">
        <w:rPr>
          <w:rFonts w:asciiTheme="minorHAnsi" w:hAnsiTheme="minorHAnsi" w:cs="TimesNewRomanPSMT"/>
          <w:b/>
          <w:bCs/>
          <w:sz w:val="22"/>
          <w:szCs w:val="22"/>
        </w:rPr>
        <w:t>DL “Ristori”: gli incentivi per le imprese</w:t>
      </w:r>
    </w:p>
    <w:p w14:paraId="22AD4248" w14:textId="6BD479A7" w:rsidR="00607560" w:rsidRDefault="00607560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</w:p>
    <w:p w14:paraId="5050E9D3" w14:textId="34789326" w:rsidR="008F6CB9" w:rsidRDefault="00724EE9" w:rsidP="00C3700B">
      <w:pPr>
        <w:rPr>
          <w:rFonts w:asciiTheme="minorHAnsi" w:hAnsiTheme="minorHAnsi" w:cs="Calibri Light"/>
          <w:sz w:val="22"/>
          <w:szCs w:val="22"/>
        </w:rPr>
      </w:pPr>
      <w:r w:rsidRPr="005D47EB">
        <w:rPr>
          <w:rFonts w:asciiTheme="minorHAnsi" w:hAnsiTheme="minorHAnsi" w:cs="Calibri Light"/>
          <w:sz w:val="22"/>
          <w:szCs w:val="22"/>
        </w:rPr>
        <w:t>Focus sulle disposizioni relative a indennizzi e misure fiscali</w:t>
      </w:r>
    </w:p>
    <w:p w14:paraId="666C4B5C" w14:textId="77777777" w:rsidR="00C923CB" w:rsidRPr="00892030" w:rsidRDefault="00C923CB" w:rsidP="00C3700B">
      <w:pPr>
        <w:rPr>
          <w:rFonts w:asciiTheme="minorHAnsi" w:hAnsiTheme="minorHAnsi" w:cs="Calibri Light"/>
          <w:sz w:val="22"/>
          <w:szCs w:val="22"/>
        </w:rPr>
      </w:pPr>
    </w:p>
    <w:p w14:paraId="6AF23253" w14:textId="6DE543BD" w:rsidR="00C00272" w:rsidRPr="00C00272" w:rsidRDefault="00607560" w:rsidP="00C00272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323232"/>
          <w:sz w:val="22"/>
          <w:szCs w:val="22"/>
        </w:rPr>
        <w:t>Il</w:t>
      </w:r>
      <w:r w:rsidR="00C00272" w:rsidRPr="00C00272">
        <w:rPr>
          <w:rFonts w:asciiTheme="minorHAnsi" w:hAnsiTheme="minorHAnsi" w:cs="Arial"/>
          <w:color w:val="32323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color w:val="323232"/>
          <w:sz w:val="22"/>
          <w:szCs w:val="22"/>
        </w:rPr>
        <w:t>D</w:t>
      </w:r>
      <w:r w:rsidR="00C00272" w:rsidRPr="00C00272">
        <w:rPr>
          <w:rFonts w:asciiTheme="minorHAnsi" w:hAnsiTheme="minorHAnsi" w:cs="Arial"/>
          <w:color w:val="323232"/>
          <w:sz w:val="22"/>
          <w:szCs w:val="22"/>
        </w:rPr>
        <w:t>ecreto</w:t>
      </w:r>
      <w:r>
        <w:rPr>
          <w:rFonts w:asciiTheme="minorHAnsi" w:hAnsiTheme="minorHAnsi" w:cs="Arial"/>
          <w:color w:val="323232"/>
          <w:sz w:val="22"/>
          <w:szCs w:val="22"/>
        </w:rPr>
        <w:t xml:space="preserve"> L</w:t>
      </w:r>
      <w:r w:rsidR="00C00272" w:rsidRPr="00C00272">
        <w:rPr>
          <w:rFonts w:asciiTheme="minorHAnsi" w:hAnsiTheme="minorHAnsi" w:cs="Arial"/>
          <w:color w:val="323232"/>
          <w:sz w:val="22"/>
          <w:szCs w:val="22"/>
        </w:rPr>
        <w:t>egge</w:t>
      </w:r>
      <w:proofErr w:type="gramEnd"/>
      <w:r w:rsidR="00C00272" w:rsidRPr="00C00272">
        <w:rPr>
          <w:rFonts w:asciiTheme="minorHAnsi" w:hAnsiTheme="minorHAnsi" w:cs="Arial"/>
          <w:color w:val="323232"/>
          <w:sz w:val="22"/>
          <w:szCs w:val="22"/>
        </w:rPr>
        <w:t xml:space="preserve"> 28 ottobre 2020, n. 137 (c.d. Decreto Ristori) introduce ulteriori misure urgenti per la tutela della salute e il sostegno a lavoratori e settori produttivi colpiti dalla pandemia da COVID-19. </w:t>
      </w:r>
    </w:p>
    <w:p w14:paraId="308DE3E7" w14:textId="61732D2D" w:rsidR="00C5003A" w:rsidRPr="00892030" w:rsidRDefault="00C5003A" w:rsidP="00FD6478">
      <w:pPr>
        <w:shd w:val="clear" w:color="auto" w:fill="FFFFFF"/>
        <w:rPr>
          <w:rFonts w:asciiTheme="minorHAnsi" w:hAnsiTheme="minorHAnsi" w:cs="Segoe UI"/>
          <w:color w:val="212529"/>
          <w:sz w:val="22"/>
          <w:szCs w:val="22"/>
        </w:rPr>
      </w:pPr>
    </w:p>
    <w:p w14:paraId="1A990D36" w14:textId="71424B11" w:rsidR="008F6CB9" w:rsidRPr="00607560" w:rsidRDefault="00607560" w:rsidP="00FD6478">
      <w:pPr>
        <w:shd w:val="clear" w:color="auto" w:fill="FFFFFF"/>
        <w:rPr>
          <w:rFonts w:asciiTheme="minorHAnsi" w:hAnsiTheme="minorHAnsi" w:cs="Segoe UI"/>
          <w:color w:val="212529"/>
          <w:sz w:val="22"/>
          <w:szCs w:val="22"/>
        </w:rPr>
      </w:pPr>
      <w:r w:rsidRPr="005D47EB">
        <w:rPr>
          <w:rFonts w:asciiTheme="minorHAnsi" w:hAnsiTheme="minorHAnsi" w:cs="Segoe UI"/>
          <w:color w:val="212529"/>
          <w:sz w:val="22"/>
          <w:szCs w:val="22"/>
        </w:rPr>
        <w:t xml:space="preserve">Di seguito una sintesi degli </w:t>
      </w:r>
      <w:r w:rsidR="00A36CED" w:rsidRPr="005D47EB">
        <w:rPr>
          <w:rFonts w:asciiTheme="minorHAnsi" w:hAnsiTheme="minorHAnsi" w:cs="Segoe UI"/>
          <w:i/>
          <w:iCs/>
          <w:color w:val="212529"/>
          <w:sz w:val="22"/>
          <w:szCs w:val="22"/>
        </w:rPr>
        <w:t xml:space="preserve">incentivi </w:t>
      </w:r>
      <w:r w:rsidR="00C00272" w:rsidRPr="005D47EB">
        <w:rPr>
          <w:rFonts w:asciiTheme="minorHAnsi" w:hAnsiTheme="minorHAnsi" w:cs="Segoe UI"/>
          <w:i/>
          <w:iCs/>
          <w:color w:val="212529"/>
          <w:sz w:val="22"/>
          <w:szCs w:val="22"/>
        </w:rPr>
        <w:t>per le imprese</w:t>
      </w:r>
      <w:r w:rsidRPr="005D47EB">
        <w:rPr>
          <w:rFonts w:asciiTheme="minorHAnsi" w:hAnsiTheme="minorHAnsi" w:cs="Segoe UI"/>
          <w:color w:val="212529"/>
          <w:sz w:val="22"/>
          <w:szCs w:val="22"/>
        </w:rPr>
        <w:t xml:space="preserve"> previsti dal provvedimento.</w:t>
      </w:r>
    </w:p>
    <w:p w14:paraId="35002330" w14:textId="77777777" w:rsidR="00A36CED" w:rsidRPr="002F3DAC" w:rsidRDefault="00A36CED" w:rsidP="00FD6478">
      <w:pPr>
        <w:shd w:val="clear" w:color="auto" w:fill="FFFFFF"/>
        <w:rPr>
          <w:rFonts w:asciiTheme="minorHAnsi" w:hAnsiTheme="minorHAnsi" w:cs="Segoe UI"/>
          <w:b/>
          <w:bCs/>
          <w:color w:val="212529"/>
          <w:sz w:val="22"/>
          <w:szCs w:val="22"/>
        </w:rPr>
      </w:pPr>
    </w:p>
    <w:p w14:paraId="358B71BF" w14:textId="5CDBE23C" w:rsidR="00070AC4" w:rsidRPr="00070AC4" w:rsidRDefault="00070AC4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070AC4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1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prevede il riconoscimento di un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70AC4">
        <w:rPr>
          <w:rFonts w:asciiTheme="minorHAnsi" w:hAnsiTheme="minorHAnsi" w:cs="Arial"/>
          <w:b/>
          <w:bCs/>
          <w:color w:val="000000"/>
          <w:sz w:val="22"/>
          <w:szCs w:val="22"/>
        </w:rPr>
        <w:t>contributo a fondo perduto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a favore dei soggetti titolari di partita IVA che svolgono attività prevalente nell’ambito dei settori economici oggetto delle limitazioni previste</w:t>
      </w:r>
      <w:r w:rsidRPr="005141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dai decreti del Presidente del </w:t>
      </w:r>
      <w:proofErr w:type="gramStart"/>
      <w:r w:rsidRPr="00070AC4">
        <w:rPr>
          <w:rFonts w:asciiTheme="minorHAnsi" w:hAnsiTheme="minorHAnsi" w:cs="Arial"/>
          <w:color w:val="000000"/>
          <w:sz w:val="22"/>
          <w:szCs w:val="22"/>
        </w:rPr>
        <w:t>Consiglio dei Ministri</w:t>
      </w:r>
      <w:proofErr w:type="gramEnd"/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emanati nel mese di ottobre al fine di contenere i contagi da Covid-19.</w:t>
      </w:r>
    </w:p>
    <w:p w14:paraId="4A516111" w14:textId="7A5F771B" w:rsidR="00892030" w:rsidRPr="002F3DAC" w:rsidRDefault="00892030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Le attività ammissibili sono quelle appartenenti a determinati codici </w:t>
      </w:r>
      <w:proofErr w:type="spellStart"/>
      <w:r w:rsidRPr="002F3DAC">
        <w:rPr>
          <w:rFonts w:asciiTheme="minorHAnsi" w:hAnsiTheme="minorHAnsi" w:cs="Arial"/>
          <w:color w:val="000000"/>
          <w:sz w:val="22"/>
          <w:szCs w:val="22"/>
        </w:rPr>
        <w:t>Ateco</w:t>
      </w:r>
      <w:proofErr w:type="spellEnd"/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elencati nell’all</w:t>
      </w:r>
      <w:r w:rsidR="00A36CED">
        <w:rPr>
          <w:rFonts w:asciiTheme="minorHAnsi" w:hAnsiTheme="minorHAnsi" w:cs="Arial"/>
          <w:color w:val="000000"/>
          <w:sz w:val="22"/>
          <w:szCs w:val="22"/>
        </w:rPr>
        <w:t>egato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1 al D</w:t>
      </w:r>
      <w:r w:rsidR="00607560">
        <w:rPr>
          <w:rFonts w:asciiTheme="minorHAnsi" w:hAnsiTheme="minorHAnsi" w:cs="Arial"/>
          <w:color w:val="000000"/>
          <w:sz w:val="22"/>
          <w:szCs w:val="22"/>
        </w:rPr>
        <w:t>L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Ristori.</w:t>
      </w:r>
    </w:p>
    <w:p w14:paraId="727387E4" w14:textId="2920ADA3" w:rsidR="00BA69BF" w:rsidRPr="002F3DAC" w:rsidRDefault="007A51C9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>P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er </w:t>
      </w:r>
      <w:r w:rsidR="00892030" w:rsidRPr="002F3DAC">
        <w:rPr>
          <w:rFonts w:asciiTheme="minorHAnsi" w:hAnsiTheme="minorHAnsi" w:cs="Arial"/>
          <w:color w:val="000000"/>
          <w:sz w:val="22"/>
          <w:szCs w:val="22"/>
        </w:rPr>
        <w:t xml:space="preserve">i soggetti 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che hanno già ricevuto il contributo a fondo perduto previsto dal Decreto Rilancio (art. 25 del D.L. 34/2020)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l’erogazione del </w:t>
      </w:r>
      <w:r w:rsidR="00BA69BF" w:rsidRPr="002F3DAC">
        <w:rPr>
          <w:rFonts w:asciiTheme="minorHAnsi" w:hAnsiTheme="minorHAnsi" w:cs="Arial"/>
          <w:color w:val="000000"/>
          <w:sz w:val="22"/>
          <w:szCs w:val="22"/>
        </w:rPr>
        <w:t xml:space="preserve">nuovo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contributo avviene attraverso </w:t>
      </w:r>
      <w:r w:rsidR="00892030" w:rsidRPr="002F3DAC">
        <w:rPr>
          <w:rFonts w:asciiTheme="minorHAnsi" w:hAnsiTheme="minorHAnsi" w:cs="Arial"/>
          <w:color w:val="000000"/>
          <w:sz w:val="22"/>
          <w:szCs w:val="22"/>
        </w:rPr>
        <w:t xml:space="preserve">un </w:t>
      </w:r>
      <w:r w:rsidR="00070AC4" w:rsidRPr="00070AC4">
        <w:rPr>
          <w:rFonts w:asciiTheme="minorHAnsi" w:hAnsiTheme="minorHAnsi" w:cs="Arial"/>
          <w:color w:val="000000"/>
          <w:sz w:val="22"/>
          <w:szCs w:val="22"/>
        </w:rPr>
        <w:t>accredito diretto sul conto corrente</w:t>
      </w:r>
      <w:r w:rsidR="00BA69BF" w:rsidRPr="002F3DA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FC51FA8" w14:textId="4919FE35" w:rsidR="00BA69BF" w:rsidRPr="002F3DAC" w:rsidRDefault="00BA69BF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L’importo del nuovo contributo 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sarà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calcolato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applicando una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percentuale a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l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l’importo del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contributo già erogato,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le percentuali variano in base 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a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l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codice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070AC4">
        <w:rPr>
          <w:rFonts w:asciiTheme="minorHAnsi" w:hAnsiTheme="minorHAnsi" w:cs="Arial"/>
          <w:color w:val="000000"/>
          <w:sz w:val="22"/>
          <w:szCs w:val="22"/>
        </w:rPr>
        <w:t>Ateco</w:t>
      </w:r>
      <w:proofErr w:type="spellEnd"/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di appartenenza dell’impresa 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 xml:space="preserve">che sono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verificabil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i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nel dettaglio nell’all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egato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1 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al provvedimento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150% per il settore alberghiero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,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 200% per i ristoranti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 xml:space="preserve">, 200% stabilimenti termali, </w:t>
      </w:r>
      <w:proofErr w:type="spellStart"/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ecc</w:t>
      </w:r>
      <w:proofErr w:type="spellEnd"/>
      <w:proofErr w:type="gramStart"/>
      <w:r w:rsidR="00607560">
        <w:rPr>
          <w:rFonts w:asciiTheme="minorHAnsi" w:hAnsiTheme="minorHAnsi" w:cs="Arial"/>
          <w:color w:val="000000"/>
          <w:sz w:val="22"/>
          <w:szCs w:val="22"/>
        </w:rPr>
        <w:t xml:space="preserve">… </w:t>
      </w:r>
      <w:r w:rsidR="0022733A" w:rsidRPr="002F3DAC">
        <w:rPr>
          <w:rFonts w:asciiTheme="minorHAnsi" w:hAnsiTheme="minorHAnsi" w:cs="Arial"/>
          <w:color w:val="000000"/>
          <w:sz w:val="22"/>
          <w:szCs w:val="22"/>
        </w:rPr>
        <w:t>)</w:t>
      </w:r>
      <w:proofErr w:type="gramEnd"/>
      <w:r w:rsidR="00607560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197809B" w14:textId="7A150F1C" w:rsidR="00070AC4" w:rsidRPr="00070AC4" w:rsidRDefault="00892030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>I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 soggetti che </w:t>
      </w:r>
      <w:r w:rsidR="00070AC4" w:rsidRPr="00070AC4">
        <w:rPr>
          <w:rFonts w:asciiTheme="minorHAnsi" w:hAnsiTheme="minorHAnsi" w:cs="Arial"/>
          <w:color w:val="000000"/>
          <w:sz w:val="22"/>
          <w:szCs w:val="22"/>
        </w:rPr>
        <w:t xml:space="preserve">non hanno 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presentato richiesta di </w:t>
      </w:r>
      <w:r w:rsidR="00070AC4" w:rsidRPr="00070AC4">
        <w:rPr>
          <w:rFonts w:asciiTheme="minorHAnsi" w:hAnsiTheme="minorHAnsi" w:cs="Arial"/>
          <w:color w:val="000000"/>
          <w:sz w:val="22"/>
          <w:szCs w:val="22"/>
        </w:rPr>
        <w:t xml:space="preserve">contributo a fondo perduto 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ai sensi del DL Rilancio </w:t>
      </w:r>
      <w:r w:rsidR="00070AC4" w:rsidRPr="00070AC4">
        <w:rPr>
          <w:rFonts w:asciiTheme="minorHAnsi" w:hAnsiTheme="minorHAnsi" w:cs="Arial"/>
          <w:color w:val="000000"/>
          <w:sz w:val="22"/>
          <w:szCs w:val="22"/>
        </w:rPr>
        <w:t>dovranno presentare apposita istanza all’Agenzia delle Entrate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 mediante procedura web</w:t>
      </w:r>
      <w:r w:rsidR="00070AC4" w:rsidRPr="00070AC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172ABAC" w14:textId="7020269A" w:rsidR="00070AC4" w:rsidRPr="002F3DAC" w:rsidRDefault="00070AC4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070AC4">
        <w:rPr>
          <w:rFonts w:asciiTheme="minorHAnsi" w:hAnsiTheme="minorHAnsi" w:cs="Arial"/>
          <w:color w:val="000000"/>
          <w:sz w:val="22"/>
          <w:szCs w:val="22"/>
        </w:rPr>
        <w:t xml:space="preserve">Il limite massimo 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del contributo 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è</w:t>
      </w:r>
      <w:r w:rsidR="00D26E11" w:rsidRPr="002F3DAC">
        <w:rPr>
          <w:rFonts w:asciiTheme="minorHAnsi" w:hAnsiTheme="minorHAnsi" w:cs="Arial"/>
          <w:color w:val="000000"/>
          <w:sz w:val="22"/>
          <w:szCs w:val="22"/>
        </w:rPr>
        <w:t xml:space="preserve"> di </w:t>
      </w:r>
      <w:r w:rsidR="00892030" w:rsidRPr="002F3DAC">
        <w:rPr>
          <w:rFonts w:asciiTheme="minorHAnsi" w:hAnsiTheme="minorHAnsi" w:cs="Arial"/>
          <w:color w:val="000000"/>
          <w:sz w:val="22"/>
          <w:szCs w:val="22"/>
        </w:rPr>
        <w:t>€ 150.000</w:t>
      </w:r>
      <w:r w:rsidRPr="00070AC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C75E66C" w14:textId="4F75C819" w:rsidR="00892030" w:rsidRPr="002F3DAC" w:rsidRDefault="00892030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>Il contributo è riconosciuto nell’ambito del Quadro temporaneo per le misure di aiuto di Stato a sostegno dell'economia nell</w:t>
      </w:r>
      <w:r w:rsidR="00607560">
        <w:rPr>
          <w:rFonts w:asciiTheme="minorHAnsi" w:hAnsiTheme="minorHAnsi" w:cs="Arial"/>
          <w:color w:val="000000"/>
          <w:sz w:val="22"/>
          <w:szCs w:val="22"/>
        </w:rPr>
        <w:t>’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attuale emergenza del COVID-19</w:t>
      </w:r>
      <w:r w:rsidR="00607560">
        <w:rPr>
          <w:rFonts w:asciiTheme="minorHAnsi" w:hAnsiTheme="minorHAnsi" w:cs="Arial"/>
          <w:color w:val="000000"/>
          <w:sz w:val="22"/>
          <w:szCs w:val="22"/>
        </w:rPr>
        <w:t>,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previsto dalla Commissione Europea.</w:t>
      </w:r>
    </w:p>
    <w:p w14:paraId="143CF2D1" w14:textId="3A2378B2" w:rsidR="00892030" w:rsidRDefault="00892030" w:rsidP="00151037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14:paraId="7DDA0A6B" w14:textId="535B567E" w:rsidR="00151037" w:rsidRDefault="00151037" w:rsidP="00151037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151037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5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prevede </w:t>
      </w:r>
      <w:r w:rsidRPr="00151037">
        <w:rPr>
          <w:rFonts w:asciiTheme="minorHAnsi" w:hAnsiTheme="minorHAnsi" w:cs="Arial"/>
          <w:color w:val="000000"/>
          <w:sz w:val="22"/>
          <w:szCs w:val="22"/>
        </w:rPr>
        <w:t xml:space="preserve">l’estensione, fino al 30 giugno 2021, del periodo di utilizzo del c.d. </w:t>
      </w:r>
      <w:r w:rsidRPr="00151037">
        <w:rPr>
          <w:rFonts w:asciiTheme="minorHAnsi" w:hAnsiTheme="minorHAnsi" w:cs="Arial"/>
          <w:b/>
          <w:bCs/>
          <w:color w:val="000000"/>
          <w:sz w:val="22"/>
          <w:szCs w:val="22"/>
        </w:rPr>
        <w:t>bonus vacanze</w:t>
      </w:r>
      <w:r w:rsidRPr="00151037">
        <w:rPr>
          <w:rFonts w:asciiTheme="minorHAnsi" w:hAnsiTheme="minorHAnsi" w:cs="Arial"/>
          <w:color w:val="000000"/>
          <w:sz w:val="22"/>
          <w:szCs w:val="22"/>
        </w:rPr>
        <w:t>, introdotto dal DL Rilancio; l’agevolazione, riconosciuta una sola volta, riguarda le domande presentate entro il 31 dicembre 2020, secondo le modalità applicative già definite in sede di introduzione della misura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423E29D" w14:textId="7211F869" w:rsidR="00151037" w:rsidRDefault="00151037" w:rsidP="00151037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14:paraId="3673CFC7" w14:textId="7A1B9700" w:rsidR="00151037" w:rsidRDefault="00151037" w:rsidP="00151037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402B4B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7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prevede </w:t>
      </w:r>
      <w:r w:rsidR="00402B4B" w:rsidRPr="00402B4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contributi a fondo perduto </w:t>
      </w:r>
      <w:r w:rsidRPr="00402B4B">
        <w:rPr>
          <w:rFonts w:asciiTheme="minorHAnsi" w:hAnsiTheme="minorHAnsi" w:cs="Arial"/>
          <w:b/>
          <w:bCs/>
          <w:color w:val="000000"/>
          <w:sz w:val="22"/>
          <w:szCs w:val="22"/>
        </w:rPr>
        <w:t>per le filiere agricole della pesca e dell’</w:t>
      </w:r>
      <w:r w:rsidR="00402B4B" w:rsidRPr="00402B4B">
        <w:rPr>
          <w:rFonts w:asciiTheme="minorHAnsi" w:hAnsiTheme="minorHAnsi" w:cs="Arial"/>
          <w:b/>
          <w:bCs/>
          <w:color w:val="000000"/>
          <w:sz w:val="22"/>
          <w:szCs w:val="22"/>
        </w:rPr>
        <w:t>acquacoltura</w:t>
      </w:r>
      <w:r w:rsidR="00402B4B">
        <w:rPr>
          <w:rFonts w:asciiTheme="minorHAnsi" w:hAnsiTheme="minorHAnsi" w:cs="Arial"/>
          <w:color w:val="000000"/>
          <w:sz w:val="22"/>
          <w:szCs w:val="22"/>
        </w:rPr>
        <w:t xml:space="preserve">. Con successivo decreto del Ministero delle Politiche Agricole e del </w:t>
      </w:r>
      <w:proofErr w:type="spellStart"/>
      <w:r w:rsidR="00402B4B">
        <w:rPr>
          <w:rFonts w:asciiTheme="minorHAnsi" w:hAnsiTheme="minorHAnsi" w:cs="Arial"/>
          <w:color w:val="000000"/>
          <w:sz w:val="22"/>
          <w:szCs w:val="22"/>
        </w:rPr>
        <w:t>Mef</w:t>
      </w:r>
      <w:proofErr w:type="spellEnd"/>
      <w:r w:rsidR="00402B4B">
        <w:rPr>
          <w:rFonts w:asciiTheme="minorHAnsi" w:hAnsiTheme="minorHAnsi" w:cs="Arial"/>
          <w:color w:val="000000"/>
          <w:sz w:val="22"/>
          <w:szCs w:val="22"/>
        </w:rPr>
        <w:t xml:space="preserve"> saranno definiti i beneficiari e i criteri per usufruire dei benefici. L’attuazione della misura sarà a cura dell’Agenzia delle Entrate.</w:t>
      </w:r>
    </w:p>
    <w:p w14:paraId="40D30F97" w14:textId="77B51605" w:rsidR="00402B4B" w:rsidRPr="002F3DAC" w:rsidRDefault="00402B4B" w:rsidP="00402B4B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r>
        <w:rPr>
          <w:rFonts w:asciiTheme="minorHAnsi" w:hAnsiTheme="minorHAnsi" w:cs="Arial"/>
          <w:color w:val="000000"/>
          <w:sz w:val="22"/>
          <w:szCs w:val="22"/>
        </w:rPr>
        <w:t>beneficio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è riconosciuto nell’ambito del Quadro temporaneo per le misure di aiuto di Stato a sostegno dell'economia nell'attuale emergenza del COVID-19</w:t>
      </w:r>
      <w:r w:rsidR="00607560">
        <w:rPr>
          <w:rFonts w:asciiTheme="minorHAnsi" w:hAnsiTheme="minorHAnsi" w:cs="Arial"/>
          <w:color w:val="000000"/>
          <w:sz w:val="22"/>
          <w:szCs w:val="22"/>
        </w:rPr>
        <w:t>,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previsto dalla Commissione Europea.</w:t>
      </w:r>
    </w:p>
    <w:p w14:paraId="7F318029" w14:textId="77777777" w:rsidR="00151037" w:rsidRPr="00C16F4F" w:rsidRDefault="00151037" w:rsidP="00151037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14:paraId="03D22EB1" w14:textId="0A93D686" w:rsidR="00C16F4F" w:rsidRDefault="002F3DAC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A36CED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8</w:t>
      </w: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 prevede l’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este</w:t>
      </w: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nsione del </w:t>
      </w:r>
      <w:r w:rsidRPr="002F3DA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credito d’imposta </w:t>
      </w:r>
      <w:r w:rsidR="00C16F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pari al 60% </w:t>
      </w:r>
      <w:r w:rsidRPr="00C16F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sui canoni di </w:t>
      </w:r>
      <w:r w:rsidRPr="002F3DAC">
        <w:rPr>
          <w:rFonts w:asciiTheme="minorHAnsi" w:hAnsiTheme="minorHAnsi" w:cs="Arial"/>
          <w:b/>
          <w:bCs/>
          <w:color w:val="000000"/>
          <w:sz w:val="22"/>
          <w:szCs w:val="22"/>
        </w:rPr>
        <w:t>locazion</w:t>
      </w:r>
      <w:r w:rsidRPr="00C16F4F">
        <w:rPr>
          <w:rFonts w:asciiTheme="minorHAnsi" w:hAnsiTheme="minorHAnsi" w:cs="Arial"/>
          <w:b/>
          <w:bCs/>
          <w:color w:val="000000"/>
          <w:sz w:val="22"/>
          <w:szCs w:val="22"/>
        </w:rPr>
        <w:t>e</w:t>
      </w: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istituito dal Decreto Rilancio</w:t>
      </w: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>ai mesi di ottobre, novembre e dicembre,</w:t>
      </w:r>
      <w:r w:rsidR="00C16F4F" w:rsidRPr="00C16F4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16F4F" w:rsidRPr="00892030">
        <w:rPr>
          <w:rFonts w:asciiTheme="minorHAnsi" w:hAnsiTheme="minorHAnsi" w:cs="Arial"/>
          <w:color w:val="000000"/>
          <w:sz w:val="22"/>
          <w:szCs w:val="22"/>
        </w:rPr>
        <w:t>indipendentemente dal volume di ricavi e compensi registrato nel periodo d'imposta precedente</w:t>
      </w:r>
      <w:r w:rsidR="00C16F4F" w:rsidRPr="00C16F4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6C703217" w14:textId="70F59C04" w:rsidR="002F3DAC" w:rsidRDefault="00C16F4F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I soggetti destinatari della misura sono quelli </w:t>
      </w:r>
      <w:r w:rsidRPr="00892030">
        <w:rPr>
          <w:rFonts w:asciiTheme="minorHAnsi" w:hAnsiTheme="minorHAnsi" w:cs="Arial"/>
          <w:color w:val="000000"/>
          <w:sz w:val="22"/>
          <w:szCs w:val="22"/>
        </w:rPr>
        <w:t>dei settori indicati nell’</w:t>
      </w:r>
      <w:r w:rsidR="00402B4B">
        <w:rPr>
          <w:rFonts w:asciiTheme="minorHAnsi" w:hAnsiTheme="minorHAnsi" w:cs="Arial"/>
          <w:color w:val="000000"/>
          <w:sz w:val="22"/>
          <w:szCs w:val="22"/>
        </w:rPr>
        <w:t>a</w:t>
      </w:r>
      <w:r w:rsidRPr="00892030">
        <w:rPr>
          <w:rFonts w:asciiTheme="minorHAnsi" w:hAnsiTheme="minorHAnsi" w:cs="Arial"/>
          <w:color w:val="000000"/>
          <w:sz w:val="22"/>
          <w:szCs w:val="22"/>
        </w:rPr>
        <w:t>llegato 1</w:t>
      </w:r>
      <w:r w:rsidRPr="00C16F4F">
        <w:rPr>
          <w:rFonts w:asciiTheme="minorHAnsi" w:hAnsiTheme="minorHAnsi" w:cs="Arial"/>
          <w:color w:val="000000"/>
          <w:sz w:val="22"/>
          <w:szCs w:val="22"/>
        </w:rPr>
        <w:t xml:space="preserve"> al DL Ristori</w:t>
      </w:r>
      <w:r w:rsidRPr="00892030">
        <w:rPr>
          <w:rFonts w:asciiTheme="minorHAnsi" w:hAnsiTheme="minorHAnsi" w:cs="Arial"/>
          <w:color w:val="000000"/>
          <w:sz w:val="22"/>
          <w:szCs w:val="22"/>
        </w:rPr>
        <w:t>, la cui attività, a causa dell’evolversi della situazione epidemiologica, è stata sospesa con i recenti provvedimenti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C9EE1E1" w14:textId="2EF00EAC" w:rsidR="00C16F4F" w:rsidRPr="002F3DAC" w:rsidRDefault="00C16F4F" w:rsidP="00A36CE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Il </w:t>
      </w:r>
      <w:r>
        <w:rPr>
          <w:rFonts w:asciiTheme="minorHAnsi" w:hAnsiTheme="minorHAnsi" w:cs="Arial"/>
          <w:color w:val="000000"/>
          <w:sz w:val="22"/>
          <w:szCs w:val="22"/>
        </w:rPr>
        <w:t>beneficio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è riconosciuto nell’ambito del Quadro temporaneo per le misure di aiuto di Stato a sostegno dell'economia nell'attuale emergenza del COVID-19</w:t>
      </w:r>
      <w:r w:rsidR="00607560">
        <w:rPr>
          <w:rFonts w:asciiTheme="minorHAnsi" w:hAnsiTheme="minorHAnsi" w:cs="Arial"/>
          <w:color w:val="000000"/>
          <w:sz w:val="22"/>
          <w:szCs w:val="22"/>
        </w:rPr>
        <w:t>,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previsto dalla Commissione Europea.</w:t>
      </w:r>
    </w:p>
    <w:p w14:paraId="0C816F7E" w14:textId="42A6B86A" w:rsidR="00C16F4F" w:rsidRDefault="00C16F4F" w:rsidP="002F3DAC">
      <w:pPr>
        <w:shd w:val="clear" w:color="auto" w:fill="FFFFFF"/>
        <w:spacing w:after="135"/>
        <w:rPr>
          <w:rFonts w:asciiTheme="minorHAnsi" w:hAnsiTheme="minorHAnsi" w:cs="Arial"/>
          <w:color w:val="000000"/>
          <w:sz w:val="22"/>
          <w:szCs w:val="22"/>
        </w:rPr>
      </w:pPr>
    </w:p>
    <w:p w14:paraId="3AE6EFE4" w14:textId="4EF37ED8" w:rsidR="00C16F4F" w:rsidRDefault="00C16F4F" w:rsidP="00514121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A36CED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9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prevede </w:t>
      </w:r>
      <w:r w:rsidRPr="00A36CED">
        <w:rPr>
          <w:rFonts w:asciiTheme="minorHAnsi" w:hAnsiTheme="minorHAnsi" w:cs="Arial"/>
          <w:color w:val="000000"/>
          <w:sz w:val="22"/>
          <w:szCs w:val="22"/>
        </w:rPr>
        <w:t xml:space="preserve">la </w:t>
      </w:r>
      <w:r w:rsidRPr="00A36CED">
        <w:rPr>
          <w:rFonts w:asciiTheme="minorHAnsi" w:hAnsiTheme="minorHAnsi" w:cs="Arial"/>
          <w:b/>
          <w:bCs/>
          <w:color w:val="000000"/>
          <w:sz w:val="22"/>
          <w:szCs w:val="22"/>
        </w:rPr>
        <w:t>cancellazione della seconda rata dell’IMU</w:t>
      </w:r>
      <w:r w:rsidRPr="00A36CED">
        <w:rPr>
          <w:rFonts w:asciiTheme="minorHAnsi" w:hAnsiTheme="minorHAnsi" w:cs="Arial"/>
          <w:color w:val="000000"/>
          <w:sz w:val="22"/>
          <w:szCs w:val="22"/>
        </w:rPr>
        <w:t xml:space="preserve">, in scadenza entro il 16 dicembre 2020, per i soggetti che svolgono attività economiche </w:t>
      </w:r>
      <w:r w:rsidR="00A36CED" w:rsidRPr="00A36CED">
        <w:rPr>
          <w:rFonts w:asciiTheme="minorHAnsi" w:hAnsiTheme="minorHAnsi" w:cs="Arial"/>
          <w:color w:val="000000"/>
          <w:sz w:val="22"/>
          <w:szCs w:val="22"/>
        </w:rPr>
        <w:t xml:space="preserve">elencate nell’ </w:t>
      </w:r>
      <w:r w:rsidRPr="00A36CED">
        <w:rPr>
          <w:rFonts w:asciiTheme="minorHAnsi" w:hAnsiTheme="minorHAnsi" w:cs="Arial"/>
          <w:color w:val="000000"/>
          <w:sz w:val="22"/>
          <w:szCs w:val="22"/>
        </w:rPr>
        <w:t>Allegato</w:t>
      </w:r>
      <w:r w:rsidR="00A36CED" w:rsidRPr="00A36CED">
        <w:rPr>
          <w:rFonts w:asciiTheme="minorHAnsi" w:hAnsiTheme="minorHAnsi" w:cs="Arial"/>
          <w:color w:val="000000"/>
          <w:sz w:val="22"/>
          <w:szCs w:val="22"/>
        </w:rPr>
        <w:t xml:space="preserve"> 1 al DL Ristori</w:t>
      </w:r>
      <w:r w:rsidRPr="00A36CE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514121">
        <w:rPr>
          <w:rFonts w:asciiTheme="minorHAnsi" w:hAnsiTheme="minorHAnsi" w:cs="Arial"/>
          <w:color w:val="000000"/>
          <w:sz w:val="22"/>
          <w:szCs w:val="22"/>
        </w:rPr>
        <w:t>Il beneficio</w:t>
      </w:r>
      <w:r w:rsidRPr="00A36CED">
        <w:rPr>
          <w:rFonts w:asciiTheme="minorHAnsi" w:hAnsiTheme="minorHAnsi" w:cs="Arial"/>
          <w:color w:val="000000"/>
          <w:sz w:val="22"/>
          <w:szCs w:val="22"/>
        </w:rPr>
        <w:t xml:space="preserve"> riguarda i soli proprietari di immobili che siano al contempo anche gestori delle attività sospese, esercitate nei medesimi immobili.</w:t>
      </w:r>
    </w:p>
    <w:p w14:paraId="6C5FDCEE" w14:textId="1886FDDA" w:rsidR="00514121" w:rsidRPr="002F3DAC" w:rsidRDefault="00514121" w:rsidP="00514121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r>
        <w:rPr>
          <w:rFonts w:asciiTheme="minorHAnsi" w:hAnsiTheme="minorHAnsi" w:cs="Arial"/>
          <w:color w:val="000000"/>
          <w:sz w:val="22"/>
          <w:szCs w:val="22"/>
        </w:rPr>
        <w:t>beneficio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è riconosciuto nell’ambito del Quadro temporaneo per le misure di aiuto di Stato a sostegno dell'economia nell'attuale emergenza del COVID-19</w:t>
      </w:r>
      <w:r w:rsidR="00C923CB">
        <w:rPr>
          <w:rFonts w:asciiTheme="minorHAnsi" w:hAnsiTheme="minorHAnsi" w:cs="Arial"/>
          <w:color w:val="000000"/>
          <w:sz w:val="22"/>
          <w:szCs w:val="22"/>
        </w:rPr>
        <w:t>,</w:t>
      </w:r>
      <w:r w:rsidRPr="002F3DAC">
        <w:rPr>
          <w:rFonts w:asciiTheme="minorHAnsi" w:hAnsiTheme="minorHAnsi" w:cs="Arial"/>
          <w:color w:val="000000"/>
          <w:sz w:val="22"/>
          <w:szCs w:val="22"/>
        </w:rPr>
        <w:t xml:space="preserve"> previsto dalla Commissione Europea.</w:t>
      </w:r>
    </w:p>
    <w:p w14:paraId="10FD95A0" w14:textId="488DCA54" w:rsidR="00C16F4F" w:rsidRPr="002F3DAC" w:rsidRDefault="00C16F4F" w:rsidP="002F3DAC">
      <w:pPr>
        <w:shd w:val="clear" w:color="auto" w:fill="FFFFFF"/>
        <w:spacing w:after="135"/>
        <w:rPr>
          <w:rFonts w:asciiTheme="minorHAnsi" w:hAnsiTheme="minorHAnsi" w:cs="Arial"/>
          <w:color w:val="000000"/>
          <w:sz w:val="22"/>
          <w:szCs w:val="22"/>
        </w:rPr>
      </w:pPr>
    </w:p>
    <w:p w14:paraId="5A9D1721" w14:textId="4E9F9170" w:rsidR="002F3DAC" w:rsidRPr="00514121" w:rsidRDefault="00514121" w:rsidP="00514121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514121">
        <w:rPr>
          <w:rFonts w:asciiTheme="minorHAnsi" w:hAnsiTheme="minorHAnsi" w:cs="Arial"/>
          <w:b/>
          <w:bCs/>
          <w:color w:val="000000"/>
          <w:sz w:val="22"/>
          <w:szCs w:val="22"/>
        </w:rPr>
        <w:t>L’articolo 10</w:t>
      </w:r>
      <w:r w:rsidRPr="00514121">
        <w:rPr>
          <w:rFonts w:asciiTheme="minorHAnsi" w:hAnsiTheme="minorHAnsi" w:cs="Arial"/>
          <w:color w:val="000000"/>
          <w:sz w:val="22"/>
          <w:szCs w:val="22"/>
        </w:rPr>
        <w:t xml:space="preserve"> prevede la proroga del termine per la </w:t>
      </w:r>
      <w:r w:rsidRPr="005141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presentazione del modello 770 </w:t>
      </w:r>
      <w:r w:rsidRPr="00514121">
        <w:rPr>
          <w:rFonts w:asciiTheme="minorHAnsi" w:hAnsiTheme="minorHAnsi" w:cs="Arial"/>
          <w:color w:val="000000"/>
          <w:sz w:val="22"/>
          <w:szCs w:val="22"/>
        </w:rPr>
        <w:t>relativo all’anno di imposta 2019 dal 2 novembre al 10 dicembre 2020</w:t>
      </w:r>
      <w:r w:rsidR="00C923CB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A469FE7" w14:textId="7C09EEF7" w:rsidR="008F6CB9" w:rsidRDefault="008F6CB9" w:rsidP="00FD6478">
      <w:pPr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</w:p>
    <w:p w14:paraId="24217524" w14:textId="6C1E7F61" w:rsidR="00402B4B" w:rsidRPr="00903E0F" w:rsidRDefault="00402B4B" w:rsidP="00FD6478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14:paraId="7BB5AC9A" w14:textId="2B3586BB" w:rsidR="002C5D60" w:rsidRPr="00903E0F" w:rsidRDefault="002C5D60" w:rsidP="00FD6478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607560">
        <w:rPr>
          <w:rFonts w:asciiTheme="minorHAnsi" w:hAnsiTheme="minorHAnsi" w:cs="Arial"/>
          <w:b/>
          <w:bCs/>
          <w:color w:val="000000"/>
          <w:sz w:val="22"/>
          <w:szCs w:val="22"/>
        </w:rPr>
        <w:t>In allegato</w:t>
      </w:r>
      <w:r w:rsidRPr="00903E0F">
        <w:rPr>
          <w:rFonts w:asciiTheme="minorHAnsi" w:hAnsiTheme="minorHAnsi" w:cs="Arial"/>
          <w:color w:val="000000"/>
          <w:sz w:val="22"/>
          <w:szCs w:val="22"/>
        </w:rPr>
        <w:t xml:space="preserve"> il </w:t>
      </w:r>
      <w:r w:rsidR="00903E0F" w:rsidRPr="00903E0F">
        <w:rPr>
          <w:rFonts w:asciiTheme="minorHAnsi" w:hAnsiTheme="minorHAnsi" w:cs="Arial"/>
          <w:color w:val="000000"/>
          <w:sz w:val="22"/>
          <w:szCs w:val="22"/>
        </w:rPr>
        <w:t>testo del DL Ristori</w:t>
      </w:r>
      <w:r w:rsidR="00903E0F">
        <w:rPr>
          <w:rFonts w:asciiTheme="minorHAnsi" w:hAnsiTheme="minorHAnsi" w:cs="Arial"/>
          <w:color w:val="000000"/>
          <w:sz w:val="22"/>
          <w:szCs w:val="22"/>
        </w:rPr>
        <w:t xml:space="preserve"> che contiene l’allegato 1 con i codici </w:t>
      </w:r>
      <w:proofErr w:type="spellStart"/>
      <w:r w:rsidR="00903E0F">
        <w:rPr>
          <w:rFonts w:asciiTheme="minorHAnsi" w:hAnsiTheme="minorHAnsi" w:cs="Arial"/>
          <w:color w:val="000000"/>
          <w:sz w:val="22"/>
          <w:szCs w:val="22"/>
        </w:rPr>
        <w:t>Ateco</w:t>
      </w:r>
      <w:proofErr w:type="spellEnd"/>
      <w:r w:rsidR="00903E0F">
        <w:rPr>
          <w:rFonts w:asciiTheme="minorHAnsi" w:hAnsiTheme="minorHAnsi" w:cs="Arial"/>
          <w:color w:val="000000"/>
          <w:sz w:val="22"/>
          <w:szCs w:val="22"/>
        </w:rPr>
        <w:t xml:space="preserve"> dei beneficiari di alcune delle principali misure.</w:t>
      </w:r>
    </w:p>
    <w:p w14:paraId="7DDC2364" w14:textId="77777777" w:rsidR="00402B4B" w:rsidRPr="00903E0F" w:rsidRDefault="00402B4B" w:rsidP="00FD6478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14:paraId="291EDE81" w14:textId="77777777" w:rsidR="00994DE8" w:rsidRPr="00747106" w:rsidRDefault="00994DE8" w:rsidP="00994DE8">
      <w:pPr>
        <w:rPr>
          <w:rFonts w:ascii="Calibri" w:hAnsi="Calibri" w:cs="Calibri Light"/>
          <w:sz w:val="22"/>
          <w:szCs w:val="22"/>
        </w:rPr>
      </w:pPr>
    </w:p>
    <w:p w14:paraId="7C7AA374" w14:textId="49216A71" w:rsidR="001A46F2" w:rsidRDefault="001A46F2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Riferimenti:</w:t>
      </w:r>
    </w:p>
    <w:p w14:paraId="6B7FC09A" w14:textId="0C3586A2" w:rsidR="008009D5" w:rsidRPr="001A46F2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1A46F2">
        <w:rPr>
          <w:rFonts w:ascii="Calibri" w:hAnsi="Calibri" w:cs="Calibri"/>
          <w:sz w:val="22"/>
          <w:szCs w:val="22"/>
        </w:rPr>
        <w:t>Area Economia di Impresa</w:t>
      </w:r>
    </w:p>
    <w:p w14:paraId="0F8BBE07" w14:textId="38646704" w:rsidR="008009D5" w:rsidRPr="005D47EB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</w:p>
    <w:p w14:paraId="7F05B8E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48ED4723" w14:textId="77777777" w:rsidR="002C5D60" w:rsidRDefault="008009D5" w:rsidP="007005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proofErr w:type="gramStart"/>
      <w:r w:rsidRPr="00A82347">
        <w:rPr>
          <w:rFonts w:ascii="Calibri" w:hAnsi="Calibri" w:cs="Calibri"/>
          <w:sz w:val="22"/>
          <w:szCs w:val="22"/>
        </w:rPr>
        <w:t>Email</w:t>
      </w:r>
      <w:proofErr w:type="gramEnd"/>
      <w:r w:rsidRPr="00A82347">
        <w:rPr>
          <w:rFonts w:ascii="Calibri" w:hAnsi="Calibri" w:cs="Calibri"/>
          <w:sz w:val="22"/>
          <w:szCs w:val="22"/>
        </w:rPr>
        <w:t>:</w:t>
      </w:r>
      <w:r w:rsidR="002C5D60">
        <w:rPr>
          <w:rFonts w:ascii="Calibri" w:hAnsi="Calibri" w:cs="Calibri"/>
          <w:sz w:val="22"/>
          <w:szCs w:val="22"/>
        </w:rPr>
        <w:t xml:space="preserve"> </w:t>
      </w:r>
    </w:p>
    <w:p w14:paraId="389CE1E4" w14:textId="7ED0E09D" w:rsidR="005A6420" w:rsidRDefault="00E56D79" w:rsidP="007005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Style w:val="Collegamentoipertestuale"/>
          <w:rFonts w:ascii="Calibri" w:hAnsi="Calibri" w:cs="Calibri"/>
          <w:sz w:val="22"/>
          <w:szCs w:val="22"/>
        </w:rPr>
      </w:pPr>
      <w:hyperlink r:id="rId7" w:history="1">
        <w:r w:rsidR="002C5D60" w:rsidRPr="003E1541">
          <w:rPr>
            <w:rStyle w:val="Collegamentoipertestuale"/>
            <w:rFonts w:ascii="Calibri" w:hAnsi="Calibri" w:cs="Calibri"/>
            <w:sz w:val="22"/>
            <w:szCs w:val="22"/>
          </w:rPr>
          <w:t>roscini@confindustria.umbria.it</w:t>
        </w:r>
      </w:hyperlink>
    </w:p>
    <w:p w14:paraId="2E45D0E9" w14:textId="5705E723" w:rsidR="00607560" w:rsidRDefault="00607560" w:rsidP="007005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Style w:val="Collegamentoipertestuale"/>
          <w:rFonts w:ascii="Calibri" w:hAnsi="Calibri" w:cs="Calibri"/>
          <w:sz w:val="22"/>
          <w:szCs w:val="22"/>
        </w:rPr>
      </w:pPr>
    </w:p>
    <w:p w14:paraId="0F4CC6B3" w14:textId="77777777" w:rsidR="00607560" w:rsidRPr="00A82347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18810C79" w14:textId="4CED1013" w:rsidR="00607560" w:rsidRPr="005D47EB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  <w:lang w:val="en-US"/>
        </w:rPr>
      </w:pPr>
      <w:r w:rsidRPr="005D47EB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8" w:history="1">
        <w:r w:rsidRPr="005D47EB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vignaroli@confindustria.umbria.it</w:t>
        </w:r>
      </w:hyperlink>
      <w:r w:rsidRPr="005D47EB">
        <w:rPr>
          <w:rFonts w:ascii="Calibri" w:hAnsi="Calibri" w:cs="Calibri"/>
          <w:sz w:val="22"/>
          <w:szCs w:val="22"/>
          <w:lang w:val="en-US"/>
        </w:rPr>
        <w:br/>
      </w:r>
    </w:p>
    <w:p w14:paraId="3D8E928D" w14:textId="4AC6C517" w:rsidR="00607560" w:rsidRPr="00777439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Pubblicata il 03/11/2020</w:t>
      </w:r>
    </w:p>
    <w:sectPr w:rsidR="00607560" w:rsidRPr="00777439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2D3BF" w14:textId="77777777" w:rsidR="00E56D79" w:rsidRDefault="00E56D79">
      <w:r>
        <w:separator/>
      </w:r>
    </w:p>
  </w:endnote>
  <w:endnote w:type="continuationSeparator" w:id="0">
    <w:p w14:paraId="474AC152" w14:textId="77777777" w:rsidR="00E56D79" w:rsidRDefault="00E5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E397" w14:textId="77777777" w:rsidR="00E56D79" w:rsidRDefault="00E56D79">
      <w:r>
        <w:separator/>
      </w:r>
    </w:p>
  </w:footnote>
  <w:footnote w:type="continuationSeparator" w:id="0">
    <w:p w14:paraId="5978CE12" w14:textId="77777777" w:rsidR="00E56D79" w:rsidRDefault="00E5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00592B2B" w:rsidR="001867E9" w:rsidRDefault="0021712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656F282" wp14:editId="5D577CBC">
                <wp:extent cx="523875" cy="495300"/>
                <wp:effectExtent l="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E2F30"/>
    <w:multiLevelType w:val="hybridMultilevel"/>
    <w:tmpl w:val="88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71639C"/>
    <w:multiLevelType w:val="hybridMultilevel"/>
    <w:tmpl w:val="BDC84032"/>
    <w:lvl w:ilvl="0" w:tplc="FDE25E4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6FE0"/>
    <w:multiLevelType w:val="hybridMultilevel"/>
    <w:tmpl w:val="46E2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79E"/>
    <w:multiLevelType w:val="multilevel"/>
    <w:tmpl w:val="C3E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E5678"/>
    <w:multiLevelType w:val="multilevel"/>
    <w:tmpl w:val="F63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B059B"/>
    <w:multiLevelType w:val="multilevel"/>
    <w:tmpl w:val="7E7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13009"/>
    <w:multiLevelType w:val="multilevel"/>
    <w:tmpl w:val="1B4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631D"/>
    <w:multiLevelType w:val="multilevel"/>
    <w:tmpl w:val="294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759B1"/>
    <w:multiLevelType w:val="hybridMultilevel"/>
    <w:tmpl w:val="6A8E69E8"/>
    <w:lvl w:ilvl="0" w:tplc="2F3A281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20040"/>
    <w:multiLevelType w:val="multilevel"/>
    <w:tmpl w:val="A00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E37CF"/>
    <w:multiLevelType w:val="hybridMultilevel"/>
    <w:tmpl w:val="59C6641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C7B4118"/>
    <w:multiLevelType w:val="multilevel"/>
    <w:tmpl w:val="E6F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3"/>
  </w:num>
  <w:num w:numId="5">
    <w:abstractNumId w:val="2"/>
  </w:num>
  <w:num w:numId="6">
    <w:abstractNumId w:val="14"/>
  </w:num>
  <w:num w:numId="7">
    <w:abstractNumId w:val="17"/>
  </w:num>
  <w:num w:numId="8">
    <w:abstractNumId w:val="27"/>
  </w:num>
  <w:num w:numId="9">
    <w:abstractNumId w:val="34"/>
  </w:num>
  <w:num w:numId="10">
    <w:abstractNumId w:val="26"/>
  </w:num>
  <w:num w:numId="11">
    <w:abstractNumId w:val="15"/>
  </w:num>
  <w:num w:numId="12">
    <w:abstractNumId w:val="23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  <w:num w:numId="17">
    <w:abstractNumId w:val="19"/>
  </w:num>
  <w:num w:numId="18">
    <w:abstractNumId w:val="1"/>
  </w:num>
  <w:num w:numId="19">
    <w:abstractNumId w:val="28"/>
  </w:num>
  <w:num w:numId="20">
    <w:abstractNumId w:val="20"/>
  </w:num>
  <w:num w:numId="21">
    <w:abstractNumId w:val="8"/>
  </w:num>
  <w:num w:numId="22">
    <w:abstractNumId w:val="33"/>
  </w:num>
  <w:num w:numId="23">
    <w:abstractNumId w:val="16"/>
  </w:num>
  <w:num w:numId="24">
    <w:abstractNumId w:val="9"/>
  </w:num>
  <w:num w:numId="25">
    <w:abstractNumId w:val="4"/>
  </w:num>
  <w:num w:numId="26">
    <w:abstractNumId w:val="6"/>
  </w:num>
  <w:num w:numId="27">
    <w:abstractNumId w:val="31"/>
  </w:num>
  <w:num w:numId="28">
    <w:abstractNumId w:val="25"/>
  </w:num>
  <w:num w:numId="29">
    <w:abstractNumId w:val="10"/>
  </w:num>
  <w:num w:numId="30">
    <w:abstractNumId w:val="35"/>
  </w:num>
  <w:num w:numId="31">
    <w:abstractNumId w:val="30"/>
  </w:num>
  <w:num w:numId="32">
    <w:abstractNumId w:val="32"/>
  </w:num>
  <w:num w:numId="33">
    <w:abstractNumId w:val="11"/>
  </w:num>
  <w:num w:numId="34">
    <w:abstractNumId w:val="36"/>
  </w:num>
  <w:num w:numId="35">
    <w:abstractNumId w:val="24"/>
  </w:num>
  <w:num w:numId="36">
    <w:abstractNumId w:val="7"/>
  </w:num>
  <w:num w:numId="3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04EE"/>
    <w:rsid w:val="000614F9"/>
    <w:rsid w:val="000625BE"/>
    <w:rsid w:val="000637F2"/>
    <w:rsid w:val="00070AC4"/>
    <w:rsid w:val="00080ADD"/>
    <w:rsid w:val="00084DD6"/>
    <w:rsid w:val="00086200"/>
    <w:rsid w:val="00087150"/>
    <w:rsid w:val="00090452"/>
    <w:rsid w:val="0009085F"/>
    <w:rsid w:val="00091677"/>
    <w:rsid w:val="00094BA5"/>
    <w:rsid w:val="000A323E"/>
    <w:rsid w:val="000A39AE"/>
    <w:rsid w:val="000B06C6"/>
    <w:rsid w:val="000B2103"/>
    <w:rsid w:val="000B75FE"/>
    <w:rsid w:val="000C53BB"/>
    <w:rsid w:val="000D0123"/>
    <w:rsid w:val="000D36C6"/>
    <w:rsid w:val="000D4668"/>
    <w:rsid w:val="000D4ADA"/>
    <w:rsid w:val="000E38C9"/>
    <w:rsid w:val="000E5391"/>
    <w:rsid w:val="000E6DB1"/>
    <w:rsid w:val="00100C48"/>
    <w:rsid w:val="0010566D"/>
    <w:rsid w:val="00126D4F"/>
    <w:rsid w:val="001311CA"/>
    <w:rsid w:val="00134010"/>
    <w:rsid w:val="00136808"/>
    <w:rsid w:val="00151037"/>
    <w:rsid w:val="00151B1D"/>
    <w:rsid w:val="00151BDD"/>
    <w:rsid w:val="00160F19"/>
    <w:rsid w:val="001674E2"/>
    <w:rsid w:val="00172666"/>
    <w:rsid w:val="00181F9E"/>
    <w:rsid w:val="001867E9"/>
    <w:rsid w:val="001A0DF3"/>
    <w:rsid w:val="001A0EA6"/>
    <w:rsid w:val="001A46F2"/>
    <w:rsid w:val="001A61DB"/>
    <w:rsid w:val="001A7AC8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2743"/>
    <w:rsid w:val="001E720B"/>
    <w:rsid w:val="001F202A"/>
    <w:rsid w:val="001F3465"/>
    <w:rsid w:val="001F48AB"/>
    <w:rsid w:val="0020292B"/>
    <w:rsid w:val="00206722"/>
    <w:rsid w:val="00210ED4"/>
    <w:rsid w:val="002113BA"/>
    <w:rsid w:val="002166C4"/>
    <w:rsid w:val="00216BD5"/>
    <w:rsid w:val="00217122"/>
    <w:rsid w:val="002216DD"/>
    <w:rsid w:val="0022540F"/>
    <w:rsid w:val="0022733A"/>
    <w:rsid w:val="00230989"/>
    <w:rsid w:val="002360B0"/>
    <w:rsid w:val="002375D8"/>
    <w:rsid w:val="00237B46"/>
    <w:rsid w:val="00242295"/>
    <w:rsid w:val="00254095"/>
    <w:rsid w:val="00256B55"/>
    <w:rsid w:val="00262647"/>
    <w:rsid w:val="002650B4"/>
    <w:rsid w:val="002655A5"/>
    <w:rsid w:val="00265FD1"/>
    <w:rsid w:val="00267F8E"/>
    <w:rsid w:val="00270D53"/>
    <w:rsid w:val="0027190F"/>
    <w:rsid w:val="00271FB0"/>
    <w:rsid w:val="0027421E"/>
    <w:rsid w:val="002743DA"/>
    <w:rsid w:val="002905C3"/>
    <w:rsid w:val="00293463"/>
    <w:rsid w:val="00297DF6"/>
    <w:rsid w:val="00297F87"/>
    <w:rsid w:val="002A6DFD"/>
    <w:rsid w:val="002B7EEB"/>
    <w:rsid w:val="002C5D60"/>
    <w:rsid w:val="002D246E"/>
    <w:rsid w:val="002D2B28"/>
    <w:rsid w:val="002E1076"/>
    <w:rsid w:val="002E4047"/>
    <w:rsid w:val="002E6758"/>
    <w:rsid w:val="002F3DAC"/>
    <w:rsid w:val="00300CDB"/>
    <w:rsid w:val="00306EA7"/>
    <w:rsid w:val="003114C4"/>
    <w:rsid w:val="00322729"/>
    <w:rsid w:val="00322EE8"/>
    <w:rsid w:val="00326815"/>
    <w:rsid w:val="003347DC"/>
    <w:rsid w:val="003360E9"/>
    <w:rsid w:val="00341C6E"/>
    <w:rsid w:val="0034265F"/>
    <w:rsid w:val="00350EF3"/>
    <w:rsid w:val="00363BF8"/>
    <w:rsid w:val="003768B3"/>
    <w:rsid w:val="00377E37"/>
    <w:rsid w:val="00385BAE"/>
    <w:rsid w:val="003944BF"/>
    <w:rsid w:val="00395392"/>
    <w:rsid w:val="003A5BAA"/>
    <w:rsid w:val="003A759E"/>
    <w:rsid w:val="003B2134"/>
    <w:rsid w:val="003B6D95"/>
    <w:rsid w:val="003B7ED2"/>
    <w:rsid w:val="003C19FB"/>
    <w:rsid w:val="003E5874"/>
    <w:rsid w:val="00402B4B"/>
    <w:rsid w:val="0041047E"/>
    <w:rsid w:val="0041177C"/>
    <w:rsid w:val="0042052A"/>
    <w:rsid w:val="0042117E"/>
    <w:rsid w:val="004353E3"/>
    <w:rsid w:val="004414A4"/>
    <w:rsid w:val="00442812"/>
    <w:rsid w:val="004435C3"/>
    <w:rsid w:val="00445DF1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4121"/>
    <w:rsid w:val="00517FCD"/>
    <w:rsid w:val="00520F32"/>
    <w:rsid w:val="00523A70"/>
    <w:rsid w:val="0053112D"/>
    <w:rsid w:val="00531CA4"/>
    <w:rsid w:val="00532215"/>
    <w:rsid w:val="00532542"/>
    <w:rsid w:val="00546306"/>
    <w:rsid w:val="00552D0E"/>
    <w:rsid w:val="005615FE"/>
    <w:rsid w:val="0056368C"/>
    <w:rsid w:val="00565BA4"/>
    <w:rsid w:val="00570DF9"/>
    <w:rsid w:val="00571AA5"/>
    <w:rsid w:val="00580D22"/>
    <w:rsid w:val="005952A0"/>
    <w:rsid w:val="005A2FBD"/>
    <w:rsid w:val="005A6420"/>
    <w:rsid w:val="005A68AC"/>
    <w:rsid w:val="005B68CD"/>
    <w:rsid w:val="005B7323"/>
    <w:rsid w:val="005C488C"/>
    <w:rsid w:val="005D2783"/>
    <w:rsid w:val="005D3F4A"/>
    <w:rsid w:val="005D47EB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07560"/>
    <w:rsid w:val="0061424A"/>
    <w:rsid w:val="00617528"/>
    <w:rsid w:val="0062196B"/>
    <w:rsid w:val="00633A04"/>
    <w:rsid w:val="00635558"/>
    <w:rsid w:val="006370DF"/>
    <w:rsid w:val="006411A6"/>
    <w:rsid w:val="006411DF"/>
    <w:rsid w:val="00642F4B"/>
    <w:rsid w:val="00654840"/>
    <w:rsid w:val="00662EE8"/>
    <w:rsid w:val="00673C44"/>
    <w:rsid w:val="00684F34"/>
    <w:rsid w:val="00686CD4"/>
    <w:rsid w:val="00691CF4"/>
    <w:rsid w:val="0069445C"/>
    <w:rsid w:val="00696623"/>
    <w:rsid w:val="006A2CD6"/>
    <w:rsid w:val="006B1B0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574"/>
    <w:rsid w:val="007006D5"/>
    <w:rsid w:val="00706997"/>
    <w:rsid w:val="00710780"/>
    <w:rsid w:val="007120A3"/>
    <w:rsid w:val="007212D6"/>
    <w:rsid w:val="00721719"/>
    <w:rsid w:val="007222B7"/>
    <w:rsid w:val="007248A8"/>
    <w:rsid w:val="00724906"/>
    <w:rsid w:val="00724EE9"/>
    <w:rsid w:val="007268E0"/>
    <w:rsid w:val="007278BF"/>
    <w:rsid w:val="00727E86"/>
    <w:rsid w:val="00730857"/>
    <w:rsid w:val="007336E8"/>
    <w:rsid w:val="00744DE8"/>
    <w:rsid w:val="00747106"/>
    <w:rsid w:val="0075722D"/>
    <w:rsid w:val="00764518"/>
    <w:rsid w:val="00777439"/>
    <w:rsid w:val="00783E6E"/>
    <w:rsid w:val="007846D1"/>
    <w:rsid w:val="007872ED"/>
    <w:rsid w:val="007900D5"/>
    <w:rsid w:val="00790AC1"/>
    <w:rsid w:val="007911A1"/>
    <w:rsid w:val="00792D99"/>
    <w:rsid w:val="00793849"/>
    <w:rsid w:val="00796CE5"/>
    <w:rsid w:val="007A106A"/>
    <w:rsid w:val="007A4BC4"/>
    <w:rsid w:val="007A51C9"/>
    <w:rsid w:val="007B0324"/>
    <w:rsid w:val="007B0D7B"/>
    <w:rsid w:val="007B28C2"/>
    <w:rsid w:val="007B4F16"/>
    <w:rsid w:val="007B53F9"/>
    <w:rsid w:val="007B72D4"/>
    <w:rsid w:val="007B7550"/>
    <w:rsid w:val="007C1279"/>
    <w:rsid w:val="007D0756"/>
    <w:rsid w:val="007D102D"/>
    <w:rsid w:val="007D346E"/>
    <w:rsid w:val="007D4E2B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072F0"/>
    <w:rsid w:val="00812C76"/>
    <w:rsid w:val="00814B6A"/>
    <w:rsid w:val="0082055D"/>
    <w:rsid w:val="00827AA4"/>
    <w:rsid w:val="0083206A"/>
    <w:rsid w:val="008324D4"/>
    <w:rsid w:val="00842CAC"/>
    <w:rsid w:val="00846546"/>
    <w:rsid w:val="008578EA"/>
    <w:rsid w:val="0087349A"/>
    <w:rsid w:val="00892030"/>
    <w:rsid w:val="0089242A"/>
    <w:rsid w:val="00895D5A"/>
    <w:rsid w:val="008A68D2"/>
    <w:rsid w:val="008B5620"/>
    <w:rsid w:val="008C1727"/>
    <w:rsid w:val="008C21F3"/>
    <w:rsid w:val="008C6FB9"/>
    <w:rsid w:val="008D047B"/>
    <w:rsid w:val="008E4D83"/>
    <w:rsid w:val="008F3065"/>
    <w:rsid w:val="008F6CB9"/>
    <w:rsid w:val="008F7F38"/>
    <w:rsid w:val="00903E0F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94DE8"/>
    <w:rsid w:val="009A181B"/>
    <w:rsid w:val="009A3F24"/>
    <w:rsid w:val="009A600B"/>
    <w:rsid w:val="009B370B"/>
    <w:rsid w:val="009B6DA0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1AF0"/>
    <w:rsid w:val="00A02167"/>
    <w:rsid w:val="00A029CB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36CED"/>
    <w:rsid w:val="00A421FD"/>
    <w:rsid w:val="00A554C8"/>
    <w:rsid w:val="00A5706E"/>
    <w:rsid w:val="00A60F3E"/>
    <w:rsid w:val="00A65A7B"/>
    <w:rsid w:val="00A66073"/>
    <w:rsid w:val="00A66B46"/>
    <w:rsid w:val="00A72245"/>
    <w:rsid w:val="00A7325D"/>
    <w:rsid w:val="00A874BE"/>
    <w:rsid w:val="00A92403"/>
    <w:rsid w:val="00A93510"/>
    <w:rsid w:val="00AA3206"/>
    <w:rsid w:val="00AA755B"/>
    <w:rsid w:val="00AA7A03"/>
    <w:rsid w:val="00AB5961"/>
    <w:rsid w:val="00AC09F6"/>
    <w:rsid w:val="00AC0DA4"/>
    <w:rsid w:val="00AC1A58"/>
    <w:rsid w:val="00AC363E"/>
    <w:rsid w:val="00AD53C0"/>
    <w:rsid w:val="00AD6736"/>
    <w:rsid w:val="00AE3B49"/>
    <w:rsid w:val="00AE4116"/>
    <w:rsid w:val="00AE4612"/>
    <w:rsid w:val="00AE484B"/>
    <w:rsid w:val="00AE7C4C"/>
    <w:rsid w:val="00AF1207"/>
    <w:rsid w:val="00AF303A"/>
    <w:rsid w:val="00AF4404"/>
    <w:rsid w:val="00AF4D79"/>
    <w:rsid w:val="00AF6300"/>
    <w:rsid w:val="00B1385A"/>
    <w:rsid w:val="00B20995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3F4B"/>
    <w:rsid w:val="00BA69BF"/>
    <w:rsid w:val="00BA6BD6"/>
    <w:rsid w:val="00BA7B76"/>
    <w:rsid w:val="00BB7D4D"/>
    <w:rsid w:val="00BB7D99"/>
    <w:rsid w:val="00BC0691"/>
    <w:rsid w:val="00BC32D4"/>
    <w:rsid w:val="00BC4801"/>
    <w:rsid w:val="00BC5242"/>
    <w:rsid w:val="00BD0AB9"/>
    <w:rsid w:val="00BD3C2C"/>
    <w:rsid w:val="00BD60DB"/>
    <w:rsid w:val="00BE3C2A"/>
    <w:rsid w:val="00C00272"/>
    <w:rsid w:val="00C10A7A"/>
    <w:rsid w:val="00C13B4C"/>
    <w:rsid w:val="00C16F4F"/>
    <w:rsid w:val="00C24A9A"/>
    <w:rsid w:val="00C273EA"/>
    <w:rsid w:val="00C27714"/>
    <w:rsid w:val="00C3700B"/>
    <w:rsid w:val="00C433AC"/>
    <w:rsid w:val="00C46AA6"/>
    <w:rsid w:val="00C5003A"/>
    <w:rsid w:val="00C52060"/>
    <w:rsid w:val="00C6046C"/>
    <w:rsid w:val="00C60925"/>
    <w:rsid w:val="00C61BFC"/>
    <w:rsid w:val="00C6483F"/>
    <w:rsid w:val="00C7079A"/>
    <w:rsid w:val="00C82C7A"/>
    <w:rsid w:val="00C923CB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B383D"/>
    <w:rsid w:val="00CC42BA"/>
    <w:rsid w:val="00CC5C44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6E11"/>
    <w:rsid w:val="00D27A1C"/>
    <w:rsid w:val="00D30E39"/>
    <w:rsid w:val="00D327D9"/>
    <w:rsid w:val="00D32FC7"/>
    <w:rsid w:val="00D35077"/>
    <w:rsid w:val="00D403FB"/>
    <w:rsid w:val="00D44D11"/>
    <w:rsid w:val="00D46D8F"/>
    <w:rsid w:val="00D50F2A"/>
    <w:rsid w:val="00D54D0D"/>
    <w:rsid w:val="00D551CF"/>
    <w:rsid w:val="00D66BBB"/>
    <w:rsid w:val="00D70745"/>
    <w:rsid w:val="00D70DAE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E3413"/>
    <w:rsid w:val="00DE72E8"/>
    <w:rsid w:val="00DF5163"/>
    <w:rsid w:val="00DF7579"/>
    <w:rsid w:val="00E00F2C"/>
    <w:rsid w:val="00E07BDC"/>
    <w:rsid w:val="00E1541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56D79"/>
    <w:rsid w:val="00E71549"/>
    <w:rsid w:val="00E71CEB"/>
    <w:rsid w:val="00E74979"/>
    <w:rsid w:val="00E8356D"/>
    <w:rsid w:val="00E906B5"/>
    <w:rsid w:val="00E909DF"/>
    <w:rsid w:val="00EA4465"/>
    <w:rsid w:val="00EA4897"/>
    <w:rsid w:val="00EA5B17"/>
    <w:rsid w:val="00EB1B2C"/>
    <w:rsid w:val="00EB5F34"/>
    <w:rsid w:val="00EB6196"/>
    <w:rsid w:val="00EC0D5D"/>
    <w:rsid w:val="00EC1013"/>
    <w:rsid w:val="00EC3D1F"/>
    <w:rsid w:val="00ED1726"/>
    <w:rsid w:val="00ED2018"/>
    <w:rsid w:val="00ED2B9F"/>
    <w:rsid w:val="00ED6E2C"/>
    <w:rsid w:val="00ED7B1E"/>
    <w:rsid w:val="00EE18FB"/>
    <w:rsid w:val="00EE4876"/>
    <w:rsid w:val="00EE4CEA"/>
    <w:rsid w:val="00EF69AE"/>
    <w:rsid w:val="00F03F20"/>
    <w:rsid w:val="00F0608B"/>
    <w:rsid w:val="00F0673C"/>
    <w:rsid w:val="00F120FE"/>
    <w:rsid w:val="00F15475"/>
    <w:rsid w:val="00F169DE"/>
    <w:rsid w:val="00F2219B"/>
    <w:rsid w:val="00F23D65"/>
    <w:rsid w:val="00F31A89"/>
    <w:rsid w:val="00F32A75"/>
    <w:rsid w:val="00F33005"/>
    <w:rsid w:val="00F34EA1"/>
    <w:rsid w:val="00F4051C"/>
    <w:rsid w:val="00F4172D"/>
    <w:rsid w:val="00F4663F"/>
    <w:rsid w:val="00F51DA0"/>
    <w:rsid w:val="00F52882"/>
    <w:rsid w:val="00F53831"/>
    <w:rsid w:val="00F53938"/>
    <w:rsid w:val="00F53F66"/>
    <w:rsid w:val="00F60480"/>
    <w:rsid w:val="00F623AC"/>
    <w:rsid w:val="00F718A4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D401E"/>
    <w:rsid w:val="00FD4772"/>
    <w:rsid w:val="00FD6478"/>
    <w:rsid w:val="00FD789D"/>
    <w:rsid w:val="00FE3CA4"/>
    <w:rsid w:val="00FE570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F03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  <w:style w:type="character" w:customStyle="1" w:styleId="apple-converted-space">
    <w:name w:val="apple-converted-space"/>
    <w:rsid w:val="00812C76"/>
  </w:style>
  <w:style w:type="character" w:customStyle="1" w:styleId="Titolo3Carattere">
    <w:name w:val="Titolo 3 Carattere"/>
    <w:basedOn w:val="Carpredefinitoparagrafo"/>
    <w:link w:val="Titolo3"/>
    <w:uiPriority w:val="9"/>
    <w:rsid w:val="00F03F2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narol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cini@confindustria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413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4553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15</cp:revision>
  <cp:lastPrinted>2019-02-27T17:41:00Z</cp:lastPrinted>
  <dcterms:created xsi:type="dcterms:W3CDTF">2020-10-30T09:38:00Z</dcterms:created>
  <dcterms:modified xsi:type="dcterms:W3CDTF">2020-11-03T11:51:00Z</dcterms:modified>
</cp:coreProperties>
</file>