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A7410" w14:textId="77777777" w:rsidR="00A93197" w:rsidRPr="00A93197" w:rsidRDefault="00A93197" w:rsidP="00A93197">
      <w:r w:rsidRPr="00A93197">
        <w:t>Sul sito del Commissario straordinario per la ricostruzione sisma 2016 è stata pubblicata </w:t>
      </w:r>
      <w:hyperlink r:id="rId5" w:history="1">
        <w:r w:rsidRPr="00A93197">
          <w:rPr>
            <w:rStyle w:val="Collegamentoipertestuale"/>
          </w:rPr>
          <w:t>l’</w:t>
        </w:r>
        <w:r w:rsidRPr="00A93197">
          <w:rPr>
            <w:rStyle w:val="Collegamentoipertestuale"/>
            <w:b/>
            <w:bCs/>
          </w:rPr>
          <w:t>Ordinanza n. 110 del 21 novembre 2020</w:t>
        </w:r>
      </w:hyperlink>
      <w:r w:rsidRPr="00A93197">
        <w:t> </w:t>
      </w:r>
      <w:r w:rsidRPr="00A93197">
        <w:rPr>
          <w:b/>
          <w:bCs/>
          <w:i/>
          <w:iCs/>
        </w:rPr>
        <w:t>“Indirizzi per l’esercizio dei poteri commissariali di cui all’articolo 11, comma 2, del Decreto legge n. 16 luglio 2020, n. 76, recante  «Misure urgenti per la semplificazione e l’innovazione digitale», convertito, con modificazioni, dalla legge 11 settembre 2020, n. 120”</w:t>
      </w:r>
      <w:r w:rsidRPr="00A93197">
        <w:t>.</w:t>
      </w:r>
    </w:p>
    <w:p w14:paraId="143372A4" w14:textId="77777777" w:rsidR="00A93197" w:rsidRPr="00A93197" w:rsidRDefault="00A93197" w:rsidP="00A93197">
      <w:r w:rsidRPr="00A93197">
        <w:t>Il provvedimento contiene le disposizioni organizzative ed attuative dei poteri in deroga, attribuiti dal legislatore al Commissario per la realizzazione delle opere pubbliche prioritarie e caratterizzate da particolari complessità.</w:t>
      </w:r>
    </w:p>
    <w:p w14:paraId="14C1B57A" w14:textId="77777777" w:rsidR="00A93197" w:rsidRPr="00A93197" w:rsidRDefault="00A93197" w:rsidP="00A93197">
      <w:r w:rsidRPr="00A93197">
        <w:t>In particolare, per ciascun intervento il Commissario straordinario adotterà specifica ordinanza, d’intesa con i Presidenti di Regione, con la quale indicherà le normative che si possono derogare per pervenire ad una immediata attuazione degli interventi, la copertura finanziaria, il relativo soggetto attuatore e ogni altra disposizione necessaria per l’accelerazione degli interventi di ricostruzione. Tale ordinanza assumerà la denominazione di “ordinanza speciale ex articolo 11, comma 2, del decreto legge 76 del 2020” e avrà una propria numerazione.</w:t>
      </w:r>
    </w:p>
    <w:p w14:paraId="665BD020" w14:textId="77777777" w:rsidR="00A93197" w:rsidRPr="00A93197" w:rsidRDefault="00A93197" w:rsidP="00A93197">
      <w:r w:rsidRPr="00A93197">
        <w:t>Per gli interventi nei </w:t>
      </w:r>
      <w:r w:rsidRPr="00A93197">
        <w:rPr>
          <w:b/>
          <w:bCs/>
        </w:rPr>
        <w:t>centri storici</w:t>
      </w:r>
      <w:r w:rsidRPr="00A93197">
        <w:t> maggiormente danneggiati (in Umbria: Cascia, Norcia e Preci), il Commissario straordinario può disporre, con l’ordinanza di cui sopra, le procedure necessarie per l’affidamento dell’esecuzione dei lavori dei centri storici, o di parti di essi, e dei nuclei urbani identificati dai Comuni con il programma straordinario di ricostruzione.</w:t>
      </w:r>
    </w:p>
    <w:p w14:paraId="6B4C4E6A" w14:textId="77777777" w:rsidR="00A93197" w:rsidRPr="00A93197" w:rsidRDefault="00A93197" w:rsidP="00A93197">
      <w:r w:rsidRPr="00A93197">
        <w:t>Successivamente, con l’</w:t>
      </w:r>
      <w:hyperlink r:id="rId6" w:history="1">
        <w:r w:rsidRPr="00A93197">
          <w:rPr>
            <w:rStyle w:val="Collegamentoipertestuale"/>
            <w:b/>
            <w:bCs/>
          </w:rPr>
          <w:t>Ordinanza n. 111 del 23 dicembre 2020</w:t>
        </w:r>
      </w:hyperlink>
      <w:r w:rsidRPr="00A93197">
        <w:t> il Commissario ha stabilito</w:t>
      </w:r>
      <w:r w:rsidRPr="00A93197">
        <w:rPr>
          <w:b/>
          <w:bCs/>
        </w:rPr>
        <w:t> </w:t>
      </w:r>
      <w:r w:rsidRPr="00A93197">
        <w:rPr>
          <w:b/>
          <w:bCs/>
          <w:i/>
          <w:iCs/>
        </w:rPr>
        <w:t>“Norme di completamento ed integrazione della disciplina sulla ricostruzione privata</w:t>
      </w:r>
      <w:r w:rsidRPr="00A93197">
        <w:rPr>
          <w:i/>
          <w:iCs/>
        </w:rPr>
        <w:t>”</w:t>
      </w:r>
      <w:r w:rsidRPr="00A93197">
        <w:t>.</w:t>
      </w:r>
    </w:p>
    <w:p w14:paraId="69691CD6" w14:textId="77777777" w:rsidR="00A93197" w:rsidRPr="00A93197" w:rsidRDefault="00A93197" w:rsidP="00A93197">
      <w:r w:rsidRPr="00A93197">
        <w:t>In particolare, si evidenziano le disposizioni in materia di:</w:t>
      </w:r>
    </w:p>
    <w:p w14:paraId="00841FFA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t>interventi di ricostruzione di </w:t>
      </w:r>
      <w:r w:rsidRPr="00A93197">
        <w:rPr>
          <w:b/>
          <w:bCs/>
        </w:rPr>
        <w:t>compendi immobiliari</w:t>
      </w:r>
      <w:r w:rsidRPr="00A93197">
        <w:t>;</w:t>
      </w:r>
    </w:p>
    <w:p w14:paraId="67CB7250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t>riorganizzazione della ricostruzione degli </w:t>
      </w:r>
      <w:r w:rsidRPr="00A93197">
        <w:rPr>
          <w:b/>
          <w:bCs/>
        </w:rPr>
        <w:t>edifici di interesse culturale</w:t>
      </w:r>
      <w:r w:rsidRPr="00A93197">
        <w:t> con apposita ordinanza di prossima emanazione;</w:t>
      </w:r>
    </w:p>
    <w:p w14:paraId="02ED659F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t>semplificazione degli interventi unitari sugli </w:t>
      </w:r>
      <w:r w:rsidRPr="00A93197">
        <w:rPr>
          <w:b/>
          <w:bCs/>
        </w:rPr>
        <w:t>aggregati</w:t>
      </w:r>
      <w:r w:rsidRPr="00A93197">
        <w:t>, modificando l’Ordinanza 19;</w:t>
      </w:r>
    </w:p>
    <w:p w14:paraId="68603BAF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t>chiarimenti ed integrazioni all’Ordinanza 51 sulla </w:t>
      </w:r>
      <w:r w:rsidRPr="00A93197">
        <w:rPr>
          <w:b/>
          <w:bCs/>
        </w:rPr>
        <w:t>sovrapposizione dei danni tra sisma 2009 e sisma 2016</w:t>
      </w:r>
      <w:r w:rsidRPr="00A93197">
        <w:t>;</w:t>
      </w:r>
    </w:p>
    <w:p w14:paraId="4EDE87E3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t>integrazioni alle modalità di calcolo del contributo per gli interventi di riparazione e ricostruzione dei </w:t>
      </w:r>
      <w:r w:rsidRPr="00A93197">
        <w:rPr>
          <w:b/>
          <w:bCs/>
        </w:rPr>
        <w:t>condomini</w:t>
      </w:r>
      <w:r w:rsidRPr="00A93197">
        <w:t>;</w:t>
      </w:r>
    </w:p>
    <w:p w14:paraId="4A0FDBBE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t>coordinamento tra attività di ricostruzione e </w:t>
      </w:r>
      <w:r w:rsidRPr="00A93197">
        <w:rPr>
          <w:b/>
          <w:bCs/>
        </w:rPr>
        <w:t>Superbonus al 110%</w:t>
      </w:r>
      <w:r w:rsidRPr="00A93197">
        <w:t>;</w:t>
      </w:r>
    </w:p>
    <w:p w14:paraId="5D6DDE6A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t>obbligo per i proprietari di mettere in sicurezza o demolire i </w:t>
      </w:r>
      <w:r w:rsidRPr="00A93197">
        <w:rPr>
          <w:b/>
          <w:bCs/>
        </w:rPr>
        <w:t>ruderi</w:t>
      </w:r>
      <w:r w:rsidRPr="00A93197">
        <w:t> e gli </w:t>
      </w:r>
      <w:r w:rsidRPr="00A93197">
        <w:rPr>
          <w:b/>
          <w:bCs/>
        </w:rPr>
        <w:t>edifici collabenti</w:t>
      </w:r>
      <w:r w:rsidRPr="00A93197">
        <w:t> che costituiscano pericolo per la pubblica incolumità o che impediscano o ostacolino l’avvio dei lavori per la riparazione di immobili adiacenti o limitrofi;</w:t>
      </w:r>
    </w:p>
    <w:p w14:paraId="5AFA72E8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t>definizione del calendario per l’</w:t>
      </w:r>
      <w:r w:rsidRPr="00A93197">
        <w:rPr>
          <w:b/>
          <w:bCs/>
        </w:rPr>
        <w:t>integrazione</w:t>
      </w:r>
      <w:r w:rsidRPr="00A93197">
        <w:t> delle </w:t>
      </w:r>
      <w:r w:rsidRPr="00A93197">
        <w:rPr>
          <w:b/>
          <w:bCs/>
        </w:rPr>
        <w:t>domande semplificate di contributo per i danni lievi</w:t>
      </w:r>
      <w:r w:rsidRPr="00A93197">
        <w:t> presentate entro la scadenza del termine di legge del 30 novembre scorso;</w:t>
      </w:r>
    </w:p>
    <w:p w14:paraId="5517056C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rPr>
          <w:b/>
          <w:bCs/>
        </w:rPr>
        <w:t>termine</w:t>
      </w:r>
      <w:r w:rsidRPr="00A93197">
        <w:t> per la presentazione delle richieste di contributo per i </w:t>
      </w:r>
      <w:r w:rsidRPr="00A93197">
        <w:rPr>
          <w:b/>
          <w:bCs/>
        </w:rPr>
        <w:t>danni gravi</w:t>
      </w:r>
      <w:r w:rsidRPr="00A93197">
        <w:t>, che viene prorogato al </w:t>
      </w:r>
      <w:r w:rsidRPr="00A93197">
        <w:rPr>
          <w:b/>
          <w:bCs/>
        </w:rPr>
        <w:t>31 dicembre 2021</w:t>
      </w:r>
      <w:r w:rsidRPr="00A93197">
        <w:t>. Per avere un quadro attendibile e completo delle necessità, in termini di risorse finanziarie e di lavoro, i proprietari o i tecnici incaricati sono obbligati a presentare agli Uffici speciali, </w:t>
      </w:r>
      <w:r w:rsidRPr="00A93197">
        <w:rPr>
          <w:b/>
          <w:bCs/>
        </w:rPr>
        <w:t>entro il 31 luglio 2021</w:t>
      </w:r>
      <w:r w:rsidRPr="00A93197">
        <w:t>, una dichiarazione con la </w:t>
      </w:r>
      <w:r w:rsidRPr="00A93197">
        <w:rPr>
          <w:b/>
          <w:bCs/>
        </w:rPr>
        <w:t>manifestazione di volontà</w:t>
      </w:r>
      <w:r w:rsidRPr="00A93197">
        <w:t> a presentare la domanda di contributo per i danni gravi;</w:t>
      </w:r>
    </w:p>
    <w:p w14:paraId="6F37E396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t>concessione di </w:t>
      </w:r>
      <w:r w:rsidRPr="00A93197">
        <w:rPr>
          <w:b/>
          <w:bCs/>
        </w:rPr>
        <w:t>contributi</w:t>
      </w:r>
      <w:r w:rsidRPr="00A93197">
        <w:t> in favore di soggetti pubblici e privati e delle attività economiche e produttive per far fronte ai </w:t>
      </w:r>
      <w:r w:rsidRPr="00A93197">
        <w:rPr>
          <w:b/>
          <w:bCs/>
        </w:rPr>
        <w:t>danni subiti</w:t>
      </w:r>
      <w:r w:rsidRPr="00A93197">
        <w:t> a seguito degli eccezionali </w:t>
      </w:r>
      <w:r w:rsidRPr="00A93197">
        <w:rPr>
          <w:b/>
          <w:bCs/>
        </w:rPr>
        <w:t>eventi meteorologici</w:t>
      </w:r>
      <w:r w:rsidRPr="00A93197">
        <w:t xml:space="preserve"> che nella </w:t>
      </w:r>
      <w:r w:rsidRPr="00A93197">
        <w:lastRenderedPageBreak/>
        <w:t>seconda decade del mese di </w:t>
      </w:r>
      <w:r w:rsidRPr="00A93197">
        <w:rPr>
          <w:b/>
          <w:bCs/>
        </w:rPr>
        <w:t>gennaio 2017</w:t>
      </w:r>
      <w:r w:rsidRPr="00A93197">
        <w:t> hanno interessato i territori delle regioni Abruzzo, Lazio, Marche e Umbria;</w:t>
      </w:r>
    </w:p>
    <w:p w14:paraId="4E22EC26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rPr>
          <w:b/>
          <w:bCs/>
        </w:rPr>
        <w:t>modifiche</w:t>
      </w:r>
      <w:r w:rsidRPr="00A93197">
        <w:t> all’</w:t>
      </w:r>
      <w:r w:rsidRPr="00A93197">
        <w:rPr>
          <w:b/>
          <w:bCs/>
        </w:rPr>
        <w:t>Ordinanza 61</w:t>
      </w:r>
      <w:r w:rsidRPr="00A93197">
        <w:t> </w:t>
      </w:r>
      <w:r w:rsidRPr="00A93197">
        <w:rPr>
          <w:i/>
          <w:iCs/>
        </w:rPr>
        <w:t>“Misure per la riparazione, il ripristino e la ricostruzione di immobili di proprietà privata di interesse culturale o destinati a uso pubblico”</w:t>
      </w:r>
      <w:r w:rsidRPr="00A93197">
        <w:t>;</w:t>
      </w:r>
    </w:p>
    <w:p w14:paraId="2CCA54FC" w14:textId="472A30E5" w:rsidR="00A93197" w:rsidRPr="00A93197" w:rsidRDefault="00A93197" w:rsidP="00A93197">
      <w:pPr>
        <w:numPr>
          <w:ilvl w:val="0"/>
          <w:numId w:val="1"/>
        </w:numPr>
      </w:pPr>
      <w:r w:rsidRPr="00A93197">
        <w:t>ulteriori </w:t>
      </w:r>
      <w:r w:rsidRPr="00A93197">
        <w:rPr>
          <w:b/>
          <w:bCs/>
        </w:rPr>
        <w:t>modifiche alle Ordinanze n. 4, 13, 19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(si segnala, in particolare, l’aumento della percentuale dei lavori subappaltabili dal 30% al 40%)</w:t>
      </w:r>
      <w:r w:rsidRPr="00A93197">
        <w:rPr>
          <w:b/>
          <w:bCs/>
        </w:rPr>
        <w:t>, 60, 62, 105 e 108</w:t>
      </w:r>
      <w:r w:rsidRPr="00A93197">
        <w:t>;</w:t>
      </w:r>
    </w:p>
    <w:p w14:paraId="692AFF97" w14:textId="77777777" w:rsidR="00A93197" w:rsidRPr="00A93197" w:rsidRDefault="00A93197" w:rsidP="00A93197">
      <w:pPr>
        <w:numPr>
          <w:ilvl w:val="0"/>
          <w:numId w:val="1"/>
        </w:numPr>
      </w:pPr>
      <w:r w:rsidRPr="00A93197">
        <w:rPr>
          <w:b/>
          <w:bCs/>
        </w:rPr>
        <w:t>modifiche</w:t>
      </w:r>
      <w:r w:rsidRPr="00A93197">
        <w:t> all’</w:t>
      </w:r>
      <w:r w:rsidRPr="00A93197">
        <w:rPr>
          <w:b/>
          <w:bCs/>
        </w:rPr>
        <w:t>Ordinanza n. 100</w:t>
      </w:r>
      <w:r w:rsidRPr="00A93197">
        <w:t> e proroga del termine per la presentazione della domanda di </w:t>
      </w:r>
      <w:r w:rsidRPr="00A93197">
        <w:rPr>
          <w:b/>
          <w:bCs/>
        </w:rPr>
        <w:t>adesione al</w:t>
      </w:r>
      <w:r w:rsidRPr="00A93197">
        <w:t> </w:t>
      </w:r>
      <w:r w:rsidRPr="00A93197">
        <w:rPr>
          <w:b/>
          <w:bCs/>
        </w:rPr>
        <w:t>regime semplificato</w:t>
      </w:r>
      <w:r w:rsidRPr="00A93197">
        <w:t> </w:t>
      </w:r>
      <w:r w:rsidRPr="00A93197">
        <w:rPr>
          <w:b/>
          <w:bCs/>
        </w:rPr>
        <w:t>fino al 31 gennaio 2021.</w:t>
      </w:r>
    </w:p>
    <w:p w14:paraId="319C3EF7" w14:textId="77777777" w:rsidR="00A93197" w:rsidRPr="00A93197" w:rsidRDefault="00A93197" w:rsidP="00A93197">
      <w:r w:rsidRPr="00A93197">
        <w:t>L’Ordinanza detta, infine, disposizioni transitorie per l’applicazione delle nuove norme.</w:t>
      </w:r>
    </w:p>
    <w:p w14:paraId="52284DEA" w14:textId="77777777" w:rsidR="00A93197" w:rsidRPr="00A93197" w:rsidRDefault="00A93197" w:rsidP="00A93197">
      <w:r w:rsidRPr="00A93197">
        <w:rPr>
          <w:b/>
          <w:bCs/>
        </w:rPr>
        <w:t>Riferimenti:</w:t>
      </w:r>
      <w:r w:rsidRPr="00A93197">
        <w:rPr>
          <w:b/>
          <w:bCs/>
        </w:rPr>
        <w:br/>
      </w:r>
      <w:r w:rsidRPr="00A93197">
        <w:t>ANCE UMBRIA</w:t>
      </w:r>
      <w:r w:rsidRPr="00A93197">
        <w:br/>
        <w:t>Perugia – </w:t>
      </w:r>
      <w:hyperlink r:id="rId7" w:history="1">
        <w:r w:rsidRPr="00A93197">
          <w:rPr>
            <w:rStyle w:val="Collegamentoipertestuale"/>
          </w:rPr>
          <w:t>info@anceumbria.it</w:t>
        </w:r>
      </w:hyperlink>
      <w:r w:rsidRPr="00A93197">
        <w:t>  – Tel. 075/582751</w:t>
      </w:r>
      <w:r w:rsidRPr="00A93197">
        <w:br/>
        <w:t>Terni – </w:t>
      </w:r>
      <w:hyperlink r:id="rId8" w:history="1">
        <w:r w:rsidRPr="00A93197">
          <w:rPr>
            <w:rStyle w:val="Collegamentoipertestuale"/>
          </w:rPr>
          <w:t>edilizia@confindustria.terni.it</w:t>
        </w:r>
      </w:hyperlink>
      <w:r w:rsidRPr="00A93197">
        <w:t>  – Tel. 0744/443411</w:t>
      </w:r>
    </w:p>
    <w:p w14:paraId="75A0FA69" w14:textId="77777777" w:rsidR="000B5266" w:rsidRDefault="000B5266"/>
    <w:sectPr w:rsidR="000B52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C5D1A"/>
    <w:multiLevelType w:val="multilevel"/>
    <w:tmpl w:val="E6EA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97"/>
    <w:rsid w:val="000B5266"/>
    <w:rsid w:val="00A9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B188"/>
  <w15:chartTrackingRefBased/>
  <w15:docId w15:val="{922ADBB4-9528-4363-904D-9D2B2C6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31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nce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sma2016.gov.it/wp-content/uploads/2020/12/ordinanza_111_2020_signed.pdf" TargetMode="External"/><Relationship Id="rId5" Type="http://schemas.openxmlformats.org/officeDocument/2006/relationships/hyperlink" Target="https://sisma2016.gov.it/wp-content/uploads/2020/11/Ordinanza-n.-110-poteri-speciali_signed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Egini</dc:creator>
  <cp:keywords/>
  <dc:description/>
  <cp:lastModifiedBy>Paolo Egini</cp:lastModifiedBy>
  <cp:revision>1</cp:revision>
  <dcterms:created xsi:type="dcterms:W3CDTF">2021-02-01T17:48:00Z</dcterms:created>
  <dcterms:modified xsi:type="dcterms:W3CDTF">2021-02-01T17:51:00Z</dcterms:modified>
</cp:coreProperties>
</file>