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84893" w14:textId="158797B3" w:rsidR="00037177" w:rsidRDefault="00952E48" w:rsidP="001E607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7177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D41235">
        <w:rPr>
          <w:rFonts w:asciiTheme="minorHAnsi" w:hAnsiTheme="minorHAnsi" w:cstheme="minorHAnsi"/>
          <w:b/>
          <w:bCs/>
          <w:sz w:val="22"/>
          <w:szCs w:val="22"/>
        </w:rPr>
        <w:t xml:space="preserve">Chiusura notturna delle gallerie su </w:t>
      </w:r>
      <w:r w:rsidR="00037177" w:rsidRPr="00037177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D41235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037177" w:rsidRPr="00037177">
        <w:rPr>
          <w:rFonts w:asciiTheme="minorHAnsi" w:hAnsiTheme="minorHAnsi" w:cstheme="minorHAnsi"/>
          <w:b/>
          <w:bCs/>
          <w:sz w:val="22"/>
          <w:szCs w:val="22"/>
        </w:rPr>
        <w:t>685 “</w:t>
      </w:r>
      <w:r w:rsidR="00D41235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037177" w:rsidRPr="00037177">
        <w:rPr>
          <w:rFonts w:asciiTheme="minorHAnsi" w:hAnsiTheme="minorHAnsi" w:cstheme="minorHAnsi"/>
          <w:b/>
          <w:bCs/>
          <w:sz w:val="22"/>
          <w:szCs w:val="22"/>
        </w:rPr>
        <w:t>elle Tre Valli Umbre”</w:t>
      </w:r>
      <w:r w:rsidR="00D4123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037177" w:rsidRPr="00037177">
        <w:rPr>
          <w:rFonts w:asciiTheme="minorHAnsi" w:hAnsiTheme="minorHAnsi" w:cstheme="minorHAnsi"/>
          <w:b/>
          <w:bCs/>
          <w:sz w:val="22"/>
          <w:szCs w:val="22"/>
        </w:rPr>
        <w:t>SS3 “Flaminia” e SS452 “</w:t>
      </w:r>
      <w:r w:rsidR="00D41235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037177" w:rsidRPr="00037177">
        <w:rPr>
          <w:rFonts w:asciiTheme="minorHAnsi" w:hAnsiTheme="minorHAnsi" w:cstheme="minorHAnsi"/>
          <w:b/>
          <w:bCs/>
          <w:sz w:val="22"/>
          <w:szCs w:val="22"/>
        </w:rPr>
        <w:t>ella Contessa”</w:t>
      </w:r>
    </w:p>
    <w:p w14:paraId="38FACAB1" w14:textId="77777777" w:rsidR="001E6071" w:rsidRPr="00037177" w:rsidRDefault="001E6071" w:rsidP="001E607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63AF80E" w14:textId="201AEFFD" w:rsidR="001E6071" w:rsidRPr="007B4C7D" w:rsidRDefault="007B4C7D" w:rsidP="0003717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Limitazioni temporanee al traffico e indicazioni sulla viabilità alternativa  </w:t>
      </w:r>
    </w:p>
    <w:p w14:paraId="5F578597" w14:textId="77777777" w:rsidR="007B4C7D" w:rsidRPr="00037177" w:rsidRDefault="007B4C7D" w:rsidP="00037177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4A39E1" w14:textId="16AB76F5" w:rsidR="00037177" w:rsidRDefault="00037177" w:rsidP="0003717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37177">
        <w:rPr>
          <w:rFonts w:asciiTheme="minorHAnsi" w:hAnsiTheme="minorHAnsi" w:cstheme="minorHAnsi"/>
          <w:sz w:val="22"/>
          <w:szCs w:val="22"/>
        </w:rPr>
        <w:t xml:space="preserve">ANAS </w:t>
      </w:r>
      <w:r w:rsidR="00D41235">
        <w:rPr>
          <w:rFonts w:asciiTheme="minorHAnsi" w:hAnsiTheme="minorHAnsi" w:cstheme="minorHAnsi"/>
          <w:sz w:val="22"/>
          <w:szCs w:val="22"/>
        </w:rPr>
        <w:t>informa</w:t>
      </w:r>
      <w:r w:rsidRPr="00037177">
        <w:rPr>
          <w:rFonts w:asciiTheme="minorHAnsi" w:hAnsiTheme="minorHAnsi" w:cstheme="minorHAnsi"/>
          <w:sz w:val="22"/>
          <w:szCs w:val="22"/>
        </w:rPr>
        <w:t xml:space="preserve"> con un </w:t>
      </w:r>
      <w:hyperlink r:id="rId7" w:history="1">
        <w:r w:rsidRPr="00037177">
          <w:rPr>
            <w:rStyle w:val="Collegamentoipertestuale"/>
            <w:rFonts w:asciiTheme="minorHAnsi" w:hAnsiTheme="minorHAnsi" w:cstheme="minorHAnsi"/>
            <w:sz w:val="22"/>
            <w:szCs w:val="22"/>
          </w:rPr>
          <w:t>com</w:t>
        </w:r>
        <w:r w:rsidRPr="00037177">
          <w:rPr>
            <w:rStyle w:val="Collegamentoipertestuale"/>
            <w:rFonts w:asciiTheme="minorHAnsi" w:hAnsiTheme="minorHAnsi" w:cstheme="minorHAnsi"/>
            <w:sz w:val="22"/>
            <w:szCs w:val="22"/>
          </w:rPr>
          <w:t>u</w:t>
        </w:r>
        <w:r w:rsidRPr="00037177">
          <w:rPr>
            <w:rStyle w:val="Collegamentoipertestuale"/>
            <w:rFonts w:asciiTheme="minorHAnsi" w:hAnsiTheme="minorHAnsi" w:cstheme="minorHAnsi"/>
            <w:sz w:val="22"/>
            <w:szCs w:val="22"/>
          </w:rPr>
          <w:t>n</w:t>
        </w:r>
        <w:r w:rsidRPr="00037177">
          <w:rPr>
            <w:rStyle w:val="Collegamentoipertestuale"/>
            <w:rFonts w:asciiTheme="minorHAnsi" w:hAnsiTheme="minorHAnsi" w:cstheme="minorHAnsi"/>
            <w:sz w:val="22"/>
            <w:szCs w:val="22"/>
          </w:rPr>
          <w:t>icato</w:t>
        </w:r>
      </w:hyperlink>
      <w:r w:rsidR="00D41235">
        <w:rPr>
          <w:rFonts w:asciiTheme="minorHAnsi" w:hAnsiTheme="minorHAnsi" w:cstheme="minorHAnsi"/>
          <w:sz w:val="22"/>
          <w:szCs w:val="22"/>
        </w:rPr>
        <w:t xml:space="preserve"> </w:t>
      </w:r>
      <w:r w:rsidRPr="00037177">
        <w:rPr>
          <w:rFonts w:asciiTheme="minorHAnsi" w:hAnsiTheme="minorHAnsi" w:cstheme="minorHAnsi"/>
          <w:sz w:val="22"/>
          <w:szCs w:val="22"/>
        </w:rPr>
        <w:t>che sono stati ultimati gli interventi per l’ammodernamento degli impianti di illuminazione all’interno delle gallerie “San Benedetto”, sulla strada statale 685 “delle Tre Valli Umbre”</w:t>
      </w:r>
      <w:r w:rsidR="00D41235">
        <w:rPr>
          <w:rFonts w:asciiTheme="minorHAnsi" w:hAnsiTheme="minorHAnsi" w:cstheme="minorHAnsi"/>
          <w:sz w:val="22"/>
          <w:szCs w:val="22"/>
        </w:rPr>
        <w:t>,</w:t>
      </w:r>
      <w:r w:rsidRPr="00037177">
        <w:rPr>
          <w:rFonts w:asciiTheme="minorHAnsi" w:hAnsiTheme="minorHAnsi" w:cstheme="minorHAnsi"/>
          <w:sz w:val="22"/>
          <w:szCs w:val="22"/>
        </w:rPr>
        <w:t xml:space="preserve"> “Colle del Prete”, sulla strada statale 3 “Flaminia” e “Contessa”, sulla strada statale 452 “della Contessa”.</w:t>
      </w:r>
    </w:p>
    <w:p w14:paraId="30A70E78" w14:textId="77777777" w:rsidR="001E6071" w:rsidRPr="00037177" w:rsidRDefault="001E6071" w:rsidP="0003717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39B5352" w14:textId="2C213F47" w:rsidR="00037177" w:rsidRDefault="00037177" w:rsidP="0003717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37177">
        <w:rPr>
          <w:rFonts w:asciiTheme="minorHAnsi" w:hAnsiTheme="minorHAnsi" w:cstheme="minorHAnsi"/>
          <w:sz w:val="22"/>
          <w:szCs w:val="22"/>
        </w:rPr>
        <w:t xml:space="preserve">Per consentire l’esecuzione dei test finali e delle prove illuminotecniche sui nuovi impianti, è necessaria la chiusura temporanea delle gallerie interessate. Al fine di contenere i disagi al traffico, per le gallerie “San Benedetto” e “Colle del Prete” la chiusura è programmata in orario notturno, </w:t>
      </w:r>
      <w:r w:rsidRPr="00D41235">
        <w:rPr>
          <w:rFonts w:asciiTheme="minorHAnsi" w:hAnsiTheme="minorHAnsi" w:cstheme="minorHAnsi"/>
          <w:b/>
          <w:bCs/>
          <w:sz w:val="22"/>
          <w:szCs w:val="22"/>
        </w:rPr>
        <w:t>dalle </w:t>
      </w:r>
      <w:r w:rsidR="00D41235" w:rsidRPr="00D41235">
        <w:rPr>
          <w:rFonts w:asciiTheme="minorHAnsi" w:hAnsiTheme="minorHAnsi" w:cstheme="minorHAnsi"/>
          <w:b/>
          <w:bCs/>
          <w:sz w:val="22"/>
          <w:szCs w:val="22"/>
        </w:rPr>
        <w:t>ore</w:t>
      </w:r>
      <w:r w:rsidR="00D41235">
        <w:rPr>
          <w:rFonts w:asciiTheme="minorHAnsi" w:hAnsiTheme="minorHAnsi" w:cstheme="minorHAnsi"/>
          <w:sz w:val="22"/>
          <w:szCs w:val="22"/>
        </w:rPr>
        <w:t xml:space="preserve"> </w:t>
      </w:r>
      <w:r w:rsidRPr="00037177">
        <w:rPr>
          <w:rFonts w:asciiTheme="minorHAnsi" w:hAnsiTheme="minorHAnsi" w:cstheme="minorHAnsi"/>
          <w:b/>
          <w:bCs/>
          <w:sz w:val="22"/>
          <w:szCs w:val="22"/>
        </w:rPr>
        <w:t>22</w:t>
      </w:r>
      <w:r w:rsidR="00D412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37177">
        <w:rPr>
          <w:rFonts w:asciiTheme="minorHAnsi" w:hAnsiTheme="minorHAnsi" w:cstheme="minorHAnsi"/>
          <w:b/>
          <w:bCs/>
          <w:sz w:val="22"/>
          <w:szCs w:val="22"/>
        </w:rPr>
        <w:t>di mercoledì 10 febbraio alle 2 di giovedì 11 febbraio</w:t>
      </w:r>
      <w:r w:rsidRPr="00037177">
        <w:rPr>
          <w:rFonts w:asciiTheme="minorHAnsi" w:hAnsiTheme="minorHAnsi" w:cstheme="minorHAnsi"/>
          <w:sz w:val="22"/>
          <w:szCs w:val="22"/>
        </w:rPr>
        <w:t>.</w:t>
      </w:r>
    </w:p>
    <w:p w14:paraId="3ABD3A7B" w14:textId="77777777" w:rsidR="001E6071" w:rsidRPr="00037177" w:rsidRDefault="001E6071" w:rsidP="0003717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90947DB" w14:textId="77777777" w:rsidR="00D41235" w:rsidRDefault="00037177" w:rsidP="0003717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37177">
        <w:rPr>
          <w:rFonts w:asciiTheme="minorHAnsi" w:hAnsiTheme="minorHAnsi" w:cstheme="minorHAnsi"/>
          <w:sz w:val="22"/>
          <w:szCs w:val="22"/>
        </w:rPr>
        <w:t xml:space="preserve">Il traffico sarà deviato sulla viabilità secondaria con indicazioni sul posto. </w:t>
      </w:r>
    </w:p>
    <w:p w14:paraId="7D97EF69" w14:textId="77777777" w:rsidR="00D41235" w:rsidRDefault="00D41235" w:rsidP="0003717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8D81773" w14:textId="54167BCB" w:rsidR="00037177" w:rsidRDefault="00037177" w:rsidP="0003717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37177">
        <w:rPr>
          <w:rFonts w:asciiTheme="minorHAnsi" w:hAnsiTheme="minorHAnsi" w:cstheme="minorHAnsi"/>
          <w:sz w:val="22"/>
          <w:szCs w:val="22"/>
        </w:rPr>
        <w:t>In particolare, sulla SS3 Flaminia (galleria Colle del Prete) i veicoli in direzione Foligno dovranno uscire allo svincolo di Gaifana (km 178) con rientro a Nocera Umbra, mentre il traffico in direzione Fano è deviato allo svincolo di Nocera Umbra (km 170,900) con rientro a Gaifana.</w:t>
      </w:r>
    </w:p>
    <w:p w14:paraId="15234400" w14:textId="77777777" w:rsidR="001E6071" w:rsidRPr="00037177" w:rsidRDefault="001E6071" w:rsidP="0003717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5088C7E" w14:textId="2D0A0701" w:rsidR="00037177" w:rsidRDefault="00037177" w:rsidP="0003717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37177">
        <w:rPr>
          <w:rFonts w:asciiTheme="minorHAnsi" w:hAnsiTheme="minorHAnsi" w:cstheme="minorHAnsi"/>
          <w:sz w:val="22"/>
          <w:szCs w:val="22"/>
        </w:rPr>
        <w:t>Sulla SS685 “delle Tre Valli Umbre” (galleria</w:t>
      </w:r>
      <w:r w:rsidR="00A17270">
        <w:rPr>
          <w:rFonts w:asciiTheme="minorHAnsi" w:hAnsiTheme="minorHAnsi" w:cstheme="minorHAnsi"/>
          <w:sz w:val="22"/>
          <w:szCs w:val="22"/>
        </w:rPr>
        <w:t xml:space="preserve"> </w:t>
      </w:r>
      <w:r w:rsidRPr="00037177">
        <w:rPr>
          <w:rFonts w:asciiTheme="minorHAnsi" w:hAnsiTheme="minorHAnsi" w:cstheme="minorHAnsi"/>
          <w:sz w:val="22"/>
          <w:szCs w:val="22"/>
        </w:rPr>
        <w:t>San Benedetto) il traffico in direzione Ascoli Piceno sarà deviato sulla strada provinciale 476 in direzione Cittareale per poi proseguire sulla strada statale 4 “Via Salaria” fino ad Arquata del Tronto. Il traffico in direzione Norcia sarà deviato sulla strada statale 4 “Via Salaria” fino a Cittareale, per poi proseguire sulla strada provinciale 476 in direzione Norcia.</w:t>
      </w:r>
    </w:p>
    <w:p w14:paraId="145B728D" w14:textId="77777777" w:rsidR="001E6071" w:rsidRPr="00037177" w:rsidRDefault="001E6071" w:rsidP="0003717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4027F0A" w14:textId="13464346" w:rsidR="00037177" w:rsidRPr="00037177" w:rsidRDefault="00037177" w:rsidP="0003717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37177">
        <w:rPr>
          <w:rFonts w:asciiTheme="minorHAnsi" w:hAnsiTheme="minorHAnsi" w:cstheme="minorHAnsi"/>
          <w:b/>
          <w:bCs/>
          <w:sz w:val="22"/>
          <w:szCs w:val="22"/>
        </w:rPr>
        <w:t>Galleria “Contessa”</w:t>
      </w:r>
    </w:p>
    <w:p w14:paraId="6ED05E20" w14:textId="7706A976" w:rsidR="00037177" w:rsidRPr="00037177" w:rsidRDefault="00037177" w:rsidP="0003717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37177">
        <w:rPr>
          <w:rFonts w:asciiTheme="minorHAnsi" w:hAnsiTheme="minorHAnsi" w:cstheme="minorHAnsi"/>
          <w:sz w:val="22"/>
          <w:szCs w:val="22"/>
        </w:rPr>
        <w:t>Sulla strada statale 452 “della Contessa</w:t>
      </w:r>
      <w:r w:rsidRPr="001E6071">
        <w:rPr>
          <w:rFonts w:asciiTheme="minorHAnsi" w:hAnsiTheme="minorHAnsi" w:cstheme="minorHAnsi"/>
          <w:sz w:val="22"/>
          <w:szCs w:val="22"/>
        </w:rPr>
        <w:t>”</w:t>
      </w:r>
      <w:r w:rsidR="001E6071">
        <w:rPr>
          <w:rFonts w:asciiTheme="minorHAnsi" w:hAnsiTheme="minorHAnsi" w:cstheme="minorHAnsi"/>
          <w:sz w:val="22"/>
          <w:szCs w:val="22"/>
        </w:rPr>
        <w:t xml:space="preserve"> </w:t>
      </w:r>
      <w:r w:rsidRPr="00037177">
        <w:rPr>
          <w:rFonts w:asciiTheme="minorHAnsi" w:hAnsiTheme="minorHAnsi" w:cstheme="minorHAnsi"/>
          <w:sz w:val="22"/>
          <w:szCs w:val="22"/>
        </w:rPr>
        <w:t xml:space="preserve">(galleria Contessa) la chiusura sarà in vigore per due notti: </w:t>
      </w:r>
      <w:r w:rsidRPr="00D41235">
        <w:rPr>
          <w:rFonts w:asciiTheme="minorHAnsi" w:hAnsiTheme="minorHAnsi" w:cstheme="minorHAnsi"/>
          <w:b/>
          <w:bCs/>
          <w:sz w:val="22"/>
          <w:szCs w:val="22"/>
        </w:rPr>
        <w:t>dalle</w:t>
      </w:r>
      <w:r w:rsidR="001E6071" w:rsidRPr="00D412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1235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="00D41235" w:rsidRPr="00D4123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D41235">
        <w:rPr>
          <w:rFonts w:asciiTheme="minorHAnsi" w:hAnsiTheme="minorHAnsi" w:cstheme="minorHAnsi"/>
          <w:b/>
          <w:bCs/>
          <w:sz w:val="22"/>
          <w:szCs w:val="22"/>
        </w:rPr>
        <w:t>30 di mercoledì 10 febbraio alle 6 del giorno successivo e dalle</w:t>
      </w:r>
      <w:r w:rsidR="001E6071" w:rsidRPr="00D412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1235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="00D41235" w:rsidRPr="00D4123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D41235">
        <w:rPr>
          <w:rFonts w:asciiTheme="minorHAnsi" w:hAnsiTheme="minorHAnsi" w:cstheme="minorHAnsi"/>
          <w:b/>
          <w:bCs/>
          <w:sz w:val="22"/>
          <w:szCs w:val="22"/>
        </w:rPr>
        <w:t>30 di giovedì 11 febbraio</w:t>
      </w:r>
      <w:r w:rsidR="001E6071" w:rsidRPr="00D412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1235">
        <w:rPr>
          <w:rFonts w:asciiTheme="minorHAnsi" w:hAnsiTheme="minorHAnsi" w:cstheme="minorHAnsi"/>
          <w:b/>
          <w:bCs/>
          <w:sz w:val="22"/>
          <w:szCs w:val="22"/>
        </w:rPr>
        <w:t>alle 6 del giorno successivo</w:t>
      </w:r>
      <w:r w:rsidRPr="0003717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B7D401" w14:textId="77777777" w:rsidR="00037177" w:rsidRPr="00037177" w:rsidRDefault="00037177" w:rsidP="0003717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37177">
        <w:rPr>
          <w:rFonts w:asciiTheme="minorHAnsi" w:hAnsiTheme="minorHAnsi" w:cstheme="minorHAnsi"/>
          <w:sz w:val="22"/>
          <w:szCs w:val="22"/>
        </w:rPr>
        <w:t>Le autovetture e i veicoli leggeri saranno deviati sulla strada regionale 298 (Gubbio-Scheggia).</w:t>
      </w:r>
    </w:p>
    <w:p w14:paraId="094D173D" w14:textId="12BA72B1" w:rsidR="00037177" w:rsidRPr="00037177" w:rsidRDefault="00037177" w:rsidP="0003717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37177">
        <w:rPr>
          <w:rFonts w:asciiTheme="minorHAnsi" w:hAnsiTheme="minorHAnsi" w:cstheme="minorHAnsi"/>
          <w:sz w:val="22"/>
          <w:szCs w:val="22"/>
        </w:rPr>
        <w:t>I</w:t>
      </w:r>
      <w:r w:rsidR="001E6071">
        <w:rPr>
          <w:rFonts w:asciiTheme="minorHAnsi" w:hAnsiTheme="minorHAnsi" w:cstheme="minorHAnsi"/>
          <w:sz w:val="22"/>
          <w:szCs w:val="22"/>
        </w:rPr>
        <w:t xml:space="preserve"> </w:t>
      </w:r>
      <w:r w:rsidRPr="00037177">
        <w:rPr>
          <w:rFonts w:asciiTheme="minorHAnsi" w:hAnsiTheme="minorHAnsi" w:cstheme="minorHAnsi"/>
          <w:b/>
          <w:bCs/>
          <w:sz w:val="22"/>
          <w:szCs w:val="22"/>
        </w:rPr>
        <w:t>mezzi pesanti con massa superiore a 3,5 tonnellate</w:t>
      </w:r>
      <w:r w:rsidR="001E60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37177">
        <w:rPr>
          <w:rFonts w:asciiTheme="minorHAnsi" w:hAnsiTheme="minorHAnsi" w:cstheme="minorHAnsi"/>
          <w:sz w:val="22"/>
          <w:szCs w:val="22"/>
        </w:rPr>
        <w:t>in direzione Marche dovranno invece percorrere la SS219 fino a Branca, proseguire sulla SS318 in direzione Ancona fino a Fossato di Vico e percorrere la SS3 Flaminia (Sigillo-Scheggia). Viceversa, i mezzi pesanti in direzione Gubbio dovranno proseguire sulla SS3 Flaminia fino a Fossato di Vico, percorrere la SS318 in direzione Perugia fino all’uscita Gubbio/Branca e proseguire sulla SS219 in direzione Gubbio.</w:t>
      </w:r>
    </w:p>
    <w:p w14:paraId="7F626B92" w14:textId="7DC5C509" w:rsidR="00D94B12" w:rsidRPr="00037177" w:rsidRDefault="00D94B12" w:rsidP="0003717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24D3FF" w14:textId="4AE59C80" w:rsidR="00D94B12" w:rsidRPr="00037177" w:rsidRDefault="00D94B12" w:rsidP="0003717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B1C38C" w14:textId="77777777" w:rsidR="00D94B12" w:rsidRPr="00037177" w:rsidRDefault="00D94B12" w:rsidP="0003717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C20922" w14:textId="13683BCA" w:rsidR="008C1069" w:rsidRPr="00037177" w:rsidRDefault="008C1069" w:rsidP="0003717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7177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037177" w:rsidRDefault="001E193D" w:rsidP="0003717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037177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Pr="00037177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037177" w:rsidRDefault="001E193D" w:rsidP="0003717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37177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037177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037177" w:rsidRDefault="00AF540A" w:rsidP="0003717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37177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037177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1C81BFC6" w14:textId="77777777" w:rsidR="002763C5" w:rsidRPr="00037177" w:rsidRDefault="002763C5" w:rsidP="00037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23E57FD" w14:textId="77777777" w:rsidR="00D94B12" w:rsidRPr="00037177" w:rsidRDefault="00D94B12" w:rsidP="00037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7A441CB" w14:textId="5FC75F52" w:rsidR="00251E4E" w:rsidRPr="00037177" w:rsidRDefault="00FA09FD" w:rsidP="00037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037177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037177">
        <w:rPr>
          <w:rFonts w:asciiTheme="minorHAnsi" w:hAnsiTheme="minorHAnsi" w:cstheme="minorHAnsi"/>
          <w:sz w:val="22"/>
          <w:szCs w:val="22"/>
        </w:rPr>
        <w:t xml:space="preserve"> </w:t>
      </w:r>
      <w:r w:rsidR="00F00856" w:rsidRPr="00037177">
        <w:rPr>
          <w:rFonts w:asciiTheme="minorHAnsi" w:hAnsiTheme="minorHAnsi" w:cstheme="minorHAnsi"/>
          <w:sz w:val="22"/>
          <w:szCs w:val="22"/>
        </w:rPr>
        <w:t>0</w:t>
      </w:r>
      <w:r w:rsidR="00037177" w:rsidRPr="00037177">
        <w:rPr>
          <w:rFonts w:asciiTheme="minorHAnsi" w:hAnsiTheme="minorHAnsi" w:cstheme="minorHAnsi"/>
          <w:sz w:val="22"/>
          <w:szCs w:val="22"/>
        </w:rPr>
        <w:t>8</w:t>
      </w:r>
      <w:r w:rsidR="00F00856" w:rsidRPr="00037177">
        <w:rPr>
          <w:rFonts w:asciiTheme="minorHAnsi" w:hAnsiTheme="minorHAnsi" w:cstheme="minorHAnsi"/>
          <w:sz w:val="22"/>
          <w:szCs w:val="22"/>
        </w:rPr>
        <w:t>/0</w:t>
      </w:r>
      <w:r w:rsidR="00037177" w:rsidRPr="00037177">
        <w:rPr>
          <w:rFonts w:asciiTheme="minorHAnsi" w:hAnsiTheme="minorHAnsi" w:cstheme="minorHAnsi"/>
          <w:sz w:val="22"/>
          <w:szCs w:val="22"/>
        </w:rPr>
        <w:t>2</w:t>
      </w:r>
      <w:r w:rsidR="00F00856" w:rsidRPr="00037177">
        <w:rPr>
          <w:rFonts w:asciiTheme="minorHAnsi" w:hAnsiTheme="minorHAnsi" w:cstheme="minorHAnsi"/>
          <w:sz w:val="22"/>
          <w:szCs w:val="22"/>
        </w:rPr>
        <w:t>/2021</w:t>
      </w:r>
    </w:p>
    <w:sectPr w:rsidR="00251E4E" w:rsidRPr="00037177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5D680" w14:textId="77777777" w:rsidR="009556E5" w:rsidRDefault="009556E5">
      <w:r>
        <w:separator/>
      </w:r>
    </w:p>
  </w:endnote>
  <w:endnote w:type="continuationSeparator" w:id="0">
    <w:p w14:paraId="2DC4AF9F" w14:textId="77777777" w:rsidR="009556E5" w:rsidRDefault="0095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9F375" w14:textId="77777777" w:rsidR="009556E5" w:rsidRDefault="009556E5">
      <w:r>
        <w:separator/>
      </w:r>
    </w:p>
  </w:footnote>
  <w:footnote w:type="continuationSeparator" w:id="0">
    <w:p w14:paraId="15C5F4AB" w14:textId="77777777" w:rsidR="009556E5" w:rsidRDefault="00955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391CC9"/>
    <w:multiLevelType w:val="hybridMultilevel"/>
    <w:tmpl w:val="2D12692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C93450A"/>
    <w:multiLevelType w:val="hybridMultilevel"/>
    <w:tmpl w:val="6C8E1EE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CA059A"/>
    <w:multiLevelType w:val="hybridMultilevel"/>
    <w:tmpl w:val="FF8C2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2450E2A"/>
    <w:multiLevelType w:val="hybridMultilevel"/>
    <w:tmpl w:val="593238A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6"/>
  </w:num>
  <w:num w:numId="2">
    <w:abstractNumId w:val="18"/>
  </w:num>
  <w:num w:numId="3">
    <w:abstractNumId w:val="10"/>
  </w:num>
  <w:num w:numId="4">
    <w:abstractNumId w:val="8"/>
  </w:num>
  <w:num w:numId="5">
    <w:abstractNumId w:val="16"/>
  </w:num>
  <w:num w:numId="6">
    <w:abstractNumId w:val="21"/>
  </w:num>
  <w:num w:numId="7">
    <w:abstractNumId w:val="27"/>
  </w:num>
  <w:num w:numId="8">
    <w:abstractNumId w:val="25"/>
  </w:num>
  <w:num w:numId="9">
    <w:abstractNumId w:val="7"/>
  </w:num>
  <w:num w:numId="10">
    <w:abstractNumId w:val="4"/>
  </w:num>
  <w:num w:numId="11">
    <w:abstractNumId w:val="28"/>
  </w:num>
  <w:num w:numId="12">
    <w:abstractNumId w:val="17"/>
  </w:num>
  <w:num w:numId="13">
    <w:abstractNumId w:val="2"/>
  </w:num>
  <w:num w:numId="14">
    <w:abstractNumId w:val="5"/>
  </w:num>
  <w:num w:numId="15">
    <w:abstractNumId w:val="24"/>
  </w:num>
  <w:num w:numId="16">
    <w:abstractNumId w:val="23"/>
  </w:num>
  <w:num w:numId="17">
    <w:abstractNumId w:val="3"/>
  </w:num>
  <w:num w:numId="18">
    <w:abstractNumId w:val="6"/>
  </w:num>
  <w:num w:numId="19">
    <w:abstractNumId w:val="20"/>
  </w:num>
  <w:num w:numId="20">
    <w:abstractNumId w:val="14"/>
  </w:num>
  <w:num w:numId="21">
    <w:abstractNumId w:val="0"/>
  </w:num>
  <w:num w:numId="22">
    <w:abstractNumId w:val="22"/>
  </w:num>
  <w:num w:numId="23">
    <w:abstractNumId w:val="12"/>
  </w:num>
  <w:num w:numId="24">
    <w:abstractNumId w:val="9"/>
  </w:num>
  <w:num w:numId="25">
    <w:abstractNumId w:val="19"/>
  </w:num>
  <w:num w:numId="26">
    <w:abstractNumId w:val="1"/>
  </w:num>
  <w:num w:numId="27">
    <w:abstractNumId w:val="13"/>
  </w:num>
  <w:num w:numId="28">
    <w:abstractNumId w:val="15"/>
  </w:num>
  <w:num w:numId="2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177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1A6F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185C"/>
    <w:rsid w:val="000E2CFF"/>
    <w:rsid w:val="000E3726"/>
    <w:rsid w:val="000E602E"/>
    <w:rsid w:val="000F020C"/>
    <w:rsid w:val="000F3879"/>
    <w:rsid w:val="000F39E2"/>
    <w:rsid w:val="000F46BC"/>
    <w:rsid w:val="000F5C17"/>
    <w:rsid w:val="000F75D4"/>
    <w:rsid w:val="00100ED7"/>
    <w:rsid w:val="00102C5A"/>
    <w:rsid w:val="001031E9"/>
    <w:rsid w:val="00105D79"/>
    <w:rsid w:val="00115A2B"/>
    <w:rsid w:val="00116F85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372EC"/>
    <w:rsid w:val="00142577"/>
    <w:rsid w:val="00147E07"/>
    <w:rsid w:val="00151BDD"/>
    <w:rsid w:val="00153868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A7DC6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6071"/>
    <w:rsid w:val="001E720B"/>
    <w:rsid w:val="001F2ABB"/>
    <w:rsid w:val="001F4E56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67C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4C83"/>
    <w:rsid w:val="00267AF5"/>
    <w:rsid w:val="00271EE3"/>
    <w:rsid w:val="002743A5"/>
    <w:rsid w:val="002763C5"/>
    <w:rsid w:val="0027733B"/>
    <w:rsid w:val="00281D98"/>
    <w:rsid w:val="002831C3"/>
    <w:rsid w:val="0028396C"/>
    <w:rsid w:val="00284843"/>
    <w:rsid w:val="002864AB"/>
    <w:rsid w:val="002878D5"/>
    <w:rsid w:val="00287E5B"/>
    <w:rsid w:val="00292A35"/>
    <w:rsid w:val="00293748"/>
    <w:rsid w:val="0029389C"/>
    <w:rsid w:val="002A070A"/>
    <w:rsid w:val="002A0E3E"/>
    <w:rsid w:val="002A1E99"/>
    <w:rsid w:val="002A5E41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0672"/>
    <w:rsid w:val="00371A95"/>
    <w:rsid w:val="00376950"/>
    <w:rsid w:val="00376AC3"/>
    <w:rsid w:val="00381A37"/>
    <w:rsid w:val="00381EA8"/>
    <w:rsid w:val="00384464"/>
    <w:rsid w:val="0038664E"/>
    <w:rsid w:val="003910A0"/>
    <w:rsid w:val="00391B52"/>
    <w:rsid w:val="00392FD4"/>
    <w:rsid w:val="003935F3"/>
    <w:rsid w:val="00395256"/>
    <w:rsid w:val="0039621B"/>
    <w:rsid w:val="003963E1"/>
    <w:rsid w:val="0039681E"/>
    <w:rsid w:val="003A18FA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4B7F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24CF"/>
    <w:rsid w:val="004334F8"/>
    <w:rsid w:val="00433ACA"/>
    <w:rsid w:val="00434368"/>
    <w:rsid w:val="00434405"/>
    <w:rsid w:val="004349DE"/>
    <w:rsid w:val="004367B1"/>
    <w:rsid w:val="0044083D"/>
    <w:rsid w:val="0044212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C78CC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217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84D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5CD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47F0"/>
    <w:rsid w:val="005C51D8"/>
    <w:rsid w:val="005C626A"/>
    <w:rsid w:val="005C6386"/>
    <w:rsid w:val="005C760F"/>
    <w:rsid w:val="005D46EE"/>
    <w:rsid w:val="005D5770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4B7F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1900"/>
    <w:rsid w:val="006A2B40"/>
    <w:rsid w:val="006A30FE"/>
    <w:rsid w:val="006A528D"/>
    <w:rsid w:val="006B00D0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5530"/>
    <w:rsid w:val="006C583D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6F6605"/>
    <w:rsid w:val="0070006D"/>
    <w:rsid w:val="007010D3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3A7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3B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C7D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7F6C82"/>
    <w:rsid w:val="0080119F"/>
    <w:rsid w:val="00802472"/>
    <w:rsid w:val="0080453A"/>
    <w:rsid w:val="00804990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36E82"/>
    <w:rsid w:val="008433BB"/>
    <w:rsid w:val="00846139"/>
    <w:rsid w:val="00847ACF"/>
    <w:rsid w:val="008502F3"/>
    <w:rsid w:val="00850549"/>
    <w:rsid w:val="00853B99"/>
    <w:rsid w:val="008557AF"/>
    <w:rsid w:val="00855C9B"/>
    <w:rsid w:val="00857B85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56E5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C21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C4FC4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270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75C0"/>
    <w:rsid w:val="00A67E81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5D7D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4BBA"/>
    <w:rsid w:val="00B67B27"/>
    <w:rsid w:val="00B67D14"/>
    <w:rsid w:val="00B67E82"/>
    <w:rsid w:val="00B76A93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100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5FF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4C8F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30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325A9"/>
    <w:rsid w:val="00D41235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4B12"/>
    <w:rsid w:val="00D96A53"/>
    <w:rsid w:val="00D97A6E"/>
    <w:rsid w:val="00DA03D1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060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462B6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C7D"/>
    <w:rsid w:val="00EF6E26"/>
    <w:rsid w:val="00F0085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4E09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3189"/>
    <w:rsid w:val="00FD4C30"/>
    <w:rsid w:val="00FD69E4"/>
    <w:rsid w:val="00FE1385"/>
    <w:rsid w:val="00FE28FB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radeanas.it/it/umbria-anas-chiusura-notturna-delle-gallerie-su-ss685-%E2%80%9Cdelle-tre-valli-umbre%E2%80%9D-ss3-%E2%80%9Cflaminia%E2%80%9D-e-ss45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21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6</cp:revision>
  <cp:lastPrinted>2020-07-31T13:58:00Z</cp:lastPrinted>
  <dcterms:created xsi:type="dcterms:W3CDTF">2021-02-08T08:15:00Z</dcterms:created>
  <dcterms:modified xsi:type="dcterms:W3CDTF">2021-02-08T08:52:00Z</dcterms:modified>
</cp:coreProperties>
</file>